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bookmarkStart w:id="0" w:name="OLE_LINK24"/>
      <w:bookmarkStart w:id="1" w:name="OLE_LINK13"/>
      <w:bookmarkStart w:id="2" w:name="OLE_LINK33"/>
      <w:bookmarkStart w:id="3" w:name="OLE_LINK34"/>
      <w:bookmarkStart w:id="4" w:name="OLE_LINK12"/>
      <w:r>
        <w:rPr>
          <w:rFonts w:ascii="Arial" w:hAnsi="Arial" w:cs="Arial"/>
          <w:b/>
        </w:rPr>
        <w:t xml:space="preserve">3GPP TSG RAN </w:t>
      </w:r>
      <w:r>
        <w:rPr>
          <w:rFonts w:hint="eastAsia" w:ascii="Arial" w:hAnsi="Arial" w:cs="Arial"/>
          <w:b/>
        </w:rPr>
        <w:t xml:space="preserve">Meeting </w:t>
      </w:r>
      <w:r>
        <w:rPr>
          <w:rFonts w:ascii="Arial" w:hAnsi="Arial" w:cs="Arial"/>
          <w:b/>
        </w:rPr>
        <w:t>#1</w:t>
      </w:r>
      <w:r>
        <w:rPr>
          <w:rFonts w:hint="eastAsia" w:ascii="Arial" w:hAnsi="Arial" w:cs="Arial"/>
          <w:b/>
        </w:rPr>
        <w:t>0</w:t>
      </w:r>
      <w:r>
        <w:rPr>
          <w:rFonts w:ascii="Arial" w:hAnsi="Arial" w:cs="Arial"/>
          <w:b/>
        </w:rPr>
        <w:t>1</w:t>
      </w:r>
      <w:r>
        <w:rPr>
          <w:rFonts w:hint="eastAsia" w:ascii="Arial" w:hAnsi="Arial" w:cs="Arial"/>
          <w:b/>
        </w:rPr>
        <w:t xml:space="preserve">   </w:t>
      </w:r>
      <w:r>
        <w:rPr>
          <w:rFonts w:ascii="Arial" w:hAnsi="Arial" w:cs="Arial"/>
          <w:b/>
        </w:rPr>
        <w:t xml:space="preserve">                                           RP-232171</w:t>
      </w:r>
    </w:p>
    <w:p>
      <w:pPr>
        <w:tabs>
          <w:tab w:val="right" w:pos="9630"/>
        </w:tabs>
        <w:snapToGrid w:val="0"/>
        <w:spacing w:after="0"/>
        <w:jc w:val="both"/>
        <w:rPr>
          <w:rFonts w:ascii="Arial" w:hAnsi="Arial" w:cs="Arial"/>
          <w:b/>
        </w:rPr>
      </w:pPr>
      <w:r>
        <w:rPr>
          <w:rFonts w:ascii="Arial" w:hAnsi="Arial" w:cs="Arial"/>
          <w:b/>
        </w:rPr>
        <w:t>Bangalore, India, September 11-15,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1897" w:right="2" w:hanging="1897" w:hangingChars="900"/>
        <w:jc w:val="both"/>
        <w:rPr>
          <w:rFonts w:ascii="Arial" w:hAnsi="Arial" w:eastAsia="宋体" w:cs="Arial"/>
          <w:b/>
          <w:sz w:val="21"/>
          <w:szCs w:val="21"/>
        </w:rPr>
      </w:pPr>
      <w:r>
        <w:rPr>
          <w:rFonts w:ascii="Arial" w:hAnsi="Arial" w:eastAsia="宋体" w:cs="Arial"/>
          <w:b/>
          <w:sz w:val="21"/>
          <w:szCs w:val="21"/>
        </w:rPr>
        <w:t>Source:</w:t>
      </w:r>
      <w:r>
        <w:rPr>
          <w:rFonts w:ascii="Arial" w:hAnsi="Arial" w:eastAsia="宋体" w:cs="Arial"/>
          <w:b/>
          <w:sz w:val="21"/>
          <w:szCs w:val="21"/>
        </w:rPr>
        <w:tab/>
      </w:r>
      <w:r>
        <w:rPr>
          <w:rFonts w:ascii="Arial" w:hAnsi="Arial" w:eastAsia="宋体" w:cs="Arial"/>
          <w:b/>
          <w:sz w:val="21"/>
          <w:szCs w:val="21"/>
        </w:rPr>
        <w:t>ZTE, Sanechips</w:t>
      </w:r>
    </w:p>
    <w:p>
      <w:pPr>
        <w:tabs>
          <w:tab w:val="center" w:pos="4536"/>
          <w:tab w:val="right" w:pos="8280"/>
          <w:tab w:val="right" w:pos="9639"/>
        </w:tabs>
        <w:snapToGrid w:val="0"/>
        <w:spacing w:after="0" w:line="240" w:lineRule="auto"/>
        <w:ind w:left="1897" w:right="2" w:hanging="1897" w:hangingChars="900"/>
        <w:jc w:val="both"/>
        <w:rPr>
          <w:rFonts w:ascii="Arial" w:hAnsi="Arial" w:eastAsia="宋体" w:cs="Arial"/>
          <w:b/>
          <w:sz w:val="21"/>
          <w:szCs w:val="21"/>
        </w:rPr>
      </w:pPr>
      <w:r>
        <w:rPr>
          <w:rFonts w:ascii="Arial" w:hAnsi="Arial" w:eastAsia="宋体" w:cs="Arial"/>
          <w:b/>
          <w:sz w:val="21"/>
          <w:szCs w:val="21"/>
        </w:rPr>
        <w:t>Title:</w:t>
      </w:r>
      <w:r>
        <w:rPr>
          <w:rFonts w:hint="eastAsia" w:ascii="Arial" w:hAnsi="Arial" w:eastAsia="宋体" w:cs="Arial"/>
          <w:b/>
          <w:sz w:val="21"/>
          <w:szCs w:val="21"/>
        </w:rPr>
        <w:tab/>
      </w:r>
      <w:bookmarkEnd w:id="0"/>
      <w:r>
        <w:rPr>
          <w:rFonts w:hint="eastAsia" w:ascii="Arial" w:hAnsi="Arial" w:eastAsia="宋体"/>
          <w:b/>
          <w:sz w:val="21"/>
          <w:szCs w:val="21"/>
        </w:rPr>
        <w:t>ECP for NR MBS evolution in Rel-19</w:t>
      </w:r>
      <w:bookmarkStart w:id="14" w:name="_GoBack"/>
      <w:bookmarkEnd w:id="14"/>
    </w:p>
    <w:p>
      <w:pPr>
        <w:tabs>
          <w:tab w:val="center" w:pos="4536"/>
          <w:tab w:val="right" w:pos="8280"/>
          <w:tab w:val="right" w:pos="9639"/>
        </w:tabs>
        <w:snapToGrid w:val="0"/>
        <w:spacing w:after="0" w:line="240" w:lineRule="auto"/>
        <w:ind w:left="1897" w:right="2" w:hanging="1897" w:hangingChars="900"/>
        <w:jc w:val="both"/>
        <w:rPr>
          <w:rFonts w:ascii="Arial" w:hAnsi="Arial" w:eastAsia="宋体" w:cs="Arial"/>
          <w:b/>
          <w:sz w:val="21"/>
          <w:szCs w:val="21"/>
        </w:rPr>
      </w:pPr>
      <w:r>
        <w:rPr>
          <w:rFonts w:ascii="Arial" w:hAnsi="Arial" w:eastAsia="宋体" w:cs="Arial"/>
          <w:b/>
          <w:sz w:val="21"/>
          <w:szCs w:val="21"/>
        </w:rPr>
        <w:t>Agenda item:</w:t>
      </w:r>
      <w:r>
        <w:rPr>
          <w:rFonts w:hint="eastAsia" w:ascii="Arial" w:hAnsi="Arial" w:eastAsia="宋体" w:cs="Arial"/>
          <w:b/>
          <w:sz w:val="21"/>
          <w:szCs w:val="21"/>
        </w:rPr>
        <w:tab/>
      </w:r>
      <w:r>
        <w:rPr>
          <w:rFonts w:ascii="Arial" w:hAnsi="Arial" w:eastAsia="宋体" w:cs="Arial"/>
          <w:b/>
          <w:sz w:val="21"/>
          <w:szCs w:val="21"/>
        </w:rPr>
        <w:t>8A.2.13.5</w:t>
      </w:r>
    </w:p>
    <w:bookmarkEnd w:id="1"/>
    <w:bookmarkEnd w:id="2"/>
    <w:bookmarkEnd w:id="3"/>
    <w:bookmarkEnd w:id="4"/>
    <w:p>
      <w:pPr>
        <w:tabs>
          <w:tab w:val="center" w:pos="4536"/>
          <w:tab w:val="right" w:pos="8280"/>
          <w:tab w:val="right" w:pos="9639"/>
        </w:tabs>
        <w:snapToGrid w:val="0"/>
        <w:spacing w:after="0" w:line="240" w:lineRule="auto"/>
        <w:ind w:left="1897" w:right="2" w:hanging="1897" w:hangingChars="900"/>
        <w:jc w:val="both"/>
        <w:rPr>
          <w:rFonts w:ascii="Arial" w:hAnsi="Arial" w:eastAsia="宋体" w:cs="Arial"/>
          <w:b/>
          <w:sz w:val="21"/>
          <w:szCs w:val="21"/>
          <w:lang w:eastAsia="ja-JP"/>
        </w:rPr>
      </w:pPr>
      <w:r>
        <w:rPr>
          <w:rFonts w:ascii="Arial" w:hAnsi="Arial" w:eastAsia="宋体" w:cs="Arial"/>
          <w:b/>
          <w:sz w:val="21"/>
          <w:szCs w:val="21"/>
        </w:rPr>
        <w:t>Document for:</w:t>
      </w:r>
      <w:r>
        <w:rPr>
          <w:rFonts w:ascii="Arial" w:hAnsi="Arial" w:eastAsia="宋体" w:cs="Arial"/>
          <w:b/>
          <w:sz w:val="21"/>
          <w:szCs w:val="21"/>
          <w:lang w:eastAsia="ja-JP"/>
        </w:rPr>
        <w:tab/>
      </w:r>
      <w:r>
        <w:rPr>
          <w:rFonts w:ascii="Arial" w:hAnsi="Arial" w:eastAsia="宋体" w:cs="Arial"/>
          <w:b/>
          <w:sz w:val="21"/>
          <w:szCs w:val="21"/>
          <w:lang w:eastAsia="ja-JP"/>
        </w:rPr>
        <w:t>Discussion</w:t>
      </w:r>
    </w:p>
    <w:p>
      <w:pPr>
        <w:pBdr>
          <w:bottom w:val="single" w:color="auto" w:sz="6" w:space="1"/>
        </w:pBdr>
        <w:snapToGrid w:val="0"/>
        <w:spacing w:after="0" w:line="240" w:lineRule="auto"/>
        <w:ind w:left="1797" w:hanging="1797"/>
        <w:jc w:val="both"/>
        <w:rPr>
          <w:rFonts w:ascii="Times New Roman" w:hAnsi="Times New Roman"/>
          <w:b/>
          <w:lang w:eastAsia="ja-JP"/>
        </w:rPr>
      </w:pPr>
    </w:p>
    <w:p>
      <w:pPr>
        <w:pStyle w:val="2"/>
        <w:numPr>
          <w:ilvl w:val="0"/>
          <w:numId w:val="3"/>
        </w:numPr>
        <w:snapToGrid w:val="0"/>
        <w:spacing w:before="120" w:after="180" w:afterLines="50"/>
        <w:jc w:val="both"/>
        <w:rPr>
          <w:rFonts w:ascii="Times New Roman" w:hAnsi="Times New Roman" w:eastAsia="宋体"/>
          <w:lang w:val="en-US"/>
        </w:rPr>
      </w:pPr>
      <w:bookmarkStart w:id="5" w:name="OLE_LINK1"/>
      <w:r>
        <w:rPr>
          <w:rFonts w:hint="eastAsia" w:ascii="Times New Roman" w:hAnsi="Times New Roman" w:eastAsia="宋体"/>
          <w:lang w:val="en-US"/>
        </w:rPr>
        <w:t>I</w:t>
      </w:r>
      <w:r>
        <w:rPr>
          <w:rFonts w:ascii="Times New Roman" w:hAnsi="Times New Roman" w:eastAsia="宋体"/>
          <w:lang w:val="en-US"/>
        </w:rPr>
        <w:t>ntroduction</w:t>
      </w:r>
    </w:p>
    <w:p>
      <w:pPr>
        <w:snapToGrid w:val="0"/>
        <w:spacing w:after="120" w:line="240" w:lineRule="auto"/>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This paper provides </w:t>
      </w:r>
      <w:r>
        <w:rPr>
          <w:rFonts w:hint="eastAsia" w:ascii="Times New Roman" w:hAnsi="Times New Roman" w:eastAsia="宋体"/>
          <w:sz w:val="20"/>
          <w:szCs w:val="20"/>
        </w:rPr>
        <w:t xml:space="preserve">our views on NR MBS evolution in Rel-19. More specifically, a) </w:t>
      </w:r>
      <w:r>
        <w:rPr>
          <w:rFonts w:hint="eastAsia" w:ascii="Times New Roman" w:hAnsi="Times New Roman" w:eastAsia="宋体"/>
          <w:sz w:val="20"/>
          <w:szCs w:val="20"/>
          <w:lang w:val="en-GB"/>
        </w:rPr>
        <w:t>the motivation</w:t>
      </w:r>
      <w:r>
        <w:rPr>
          <w:rFonts w:hint="eastAsia" w:ascii="Times New Roman" w:hAnsi="Times New Roman" w:eastAsia="宋体"/>
          <w:sz w:val="20"/>
          <w:szCs w:val="20"/>
        </w:rPr>
        <w:t>s</w:t>
      </w:r>
      <w:r>
        <w:rPr>
          <w:rFonts w:hint="eastAsia" w:ascii="Times New Roman" w:hAnsi="Times New Roman" w:eastAsia="宋体"/>
          <w:sz w:val="20"/>
          <w:szCs w:val="20"/>
          <w:lang w:val="en-GB"/>
        </w:rPr>
        <w:t xml:space="preserve"> and </w:t>
      </w:r>
      <w:r>
        <w:rPr>
          <w:rFonts w:hint="eastAsia" w:ascii="Times New Roman" w:hAnsi="Times New Roman" w:eastAsia="宋体"/>
          <w:sz w:val="20"/>
          <w:szCs w:val="20"/>
        </w:rPr>
        <w:t xml:space="preserve">potential issues </w:t>
      </w:r>
      <w:r>
        <w:rPr>
          <w:rFonts w:hint="eastAsia" w:ascii="Times New Roman" w:hAnsi="Times New Roman" w:eastAsia="宋体"/>
          <w:sz w:val="20"/>
          <w:szCs w:val="20"/>
          <w:lang w:val="en-GB"/>
        </w:rPr>
        <w:t>on supporting ECP for the 15kHz and 30kHz subcarrier spacing</w:t>
      </w:r>
      <w:r>
        <w:rPr>
          <w:rFonts w:hint="eastAsia" w:ascii="Times New Roman" w:hAnsi="Times New Roman" w:eastAsia="宋体"/>
          <w:sz w:val="20"/>
          <w:szCs w:val="20"/>
        </w:rPr>
        <w:t xml:space="preserve"> and b) whether explicit MBSFN shall be supported are discussed</w:t>
      </w:r>
      <w:r>
        <w:rPr>
          <w:rFonts w:hint="eastAsia" w:ascii="Times New Roman" w:hAnsi="Times New Roman" w:eastAsia="宋体"/>
          <w:sz w:val="20"/>
          <w:szCs w:val="20"/>
          <w:lang w:val="en-GB"/>
        </w:rPr>
        <w:t xml:space="preserve">. </w:t>
      </w:r>
    </w:p>
    <w:p>
      <w:pPr>
        <w:snapToGrid w:val="0"/>
        <w:spacing w:after="120" w:line="240" w:lineRule="auto"/>
        <w:jc w:val="both"/>
        <w:rPr>
          <w:rFonts w:hint="eastAsia" w:ascii="Times New Roman" w:hAnsi="Times New Roman" w:eastAsia="宋体"/>
          <w:sz w:val="20"/>
          <w:szCs w:val="20"/>
          <w:lang w:val="en-GB"/>
        </w:rPr>
      </w:pPr>
    </w:p>
    <w:p>
      <w:pPr>
        <w:pStyle w:val="2"/>
        <w:numPr>
          <w:ilvl w:val="0"/>
          <w:numId w:val="3"/>
        </w:numPr>
        <w:snapToGrid w:val="0"/>
        <w:spacing w:before="120" w:after="180" w:afterLines="50"/>
        <w:jc w:val="both"/>
        <w:rPr>
          <w:rFonts w:ascii="Times New Roman" w:hAnsi="Times New Roman" w:eastAsia="宋体"/>
          <w:lang w:val="en-US"/>
        </w:rPr>
      </w:pPr>
      <w:r>
        <w:rPr>
          <w:rFonts w:hint="eastAsia" w:ascii="Times New Roman" w:hAnsi="Times New Roman" w:eastAsia="宋体"/>
          <w:lang w:val="en-US"/>
        </w:rPr>
        <w:t>ECP support for NR MBS</w:t>
      </w:r>
    </w:p>
    <w:p>
      <w:pPr>
        <w:numPr>
          <w:ilvl w:val="0"/>
          <w:numId w:val="4"/>
        </w:numPr>
        <w:autoSpaceDE w:val="0"/>
        <w:autoSpaceDN w:val="0"/>
        <w:adjustRightInd w:val="0"/>
        <w:snapToGrid w:val="0"/>
        <w:spacing w:after="120" w:line="240" w:lineRule="auto"/>
        <w:jc w:val="both"/>
        <w:rPr>
          <w:rFonts w:ascii="Times New Roman" w:hAnsi="Times New Roman" w:eastAsia="宋体"/>
          <w:b/>
          <w:i/>
          <w:u w:val="single"/>
        </w:rPr>
      </w:pPr>
      <w:r>
        <w:rPr>
          <w:rFonts w:ascii="Times New Roman" w:hAnsi="Times New Roman" w:eastAsia="宋体"/>
          <w:b/>
          <w:i/>
          <w:u w:val="single"/>
        </w:rPr>
        <w:t>Motivations</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According to previous releases of NR MBS, SFN-based transmission </w:t>
      </w:r>
      <w:r>
        <w:rPr>
          <w:rFonts w:ascii="Times New Roman" w:hAnsi="Times New Roman" w:eastAsia="宋体"/>
          <w:sz w:val="20"/>
          <w:szCs w:val="20"/>
        </w:rPr>
        <w:t xml:space="preserve">mechanism </w:t>
      </w:r>
      <w:r>
        <w:rPr>
          <w:rFonts w:hint="eastAsia" w:ascii="Times New Roman" w:hAnsi="Times New Roman" w:eastAsia="宋体"/>
          <w:sz w:val="20"/>
          <w:szCs w:val="20"/>
        </w:rPr>
        <w:t xml:space="preserve">for MBS broadcast and multicast had already been supported by implementation for improving the reception performance especially for UEs in cell edge. However, </w:t>
      </w:r>
      <w:bookmarkStart w:id="6" w:name="OLE_LINK3"/>
      <w:r>
        <w:rPr>
          <w:rFonts w:hint="eastAsia" w:ascii="Times New Roman" w:hAnsi="Times New Roman" w:eastAsia="宋体"/>
          <w:sz w:val="20"/>
          <w:szCs w:val="20"/>
        </w:rPr>
        <w:t xml:space="preserve">the </w:t>
      </w:r>
      <w:bookmarkStart w:id="7" w:name="OLE_LINK10"/>
      <w:r>
        <w:rPr>
          <w:rFonts w:ascii="Times New Roman" w:hAnsi="Times New Roman" w:eastAsia="宋体"/>
          <w:sz w:val="20"/>
          <w:szCs w:val="20"/>
        </w:rPr>
        <w:t xml:space="preserve">applicable area range of the SFN transmission </w:t>
      </w:r>
      <w:bookmarkStart w:id="8" w:name="OLE_LINK9"/>
      <w:r>
        <w:rPr>
          <w:rFonts w:ascii="Times New Roman" w:hAnsi="Times New Roman" w:eastAsia="宋体"/>
          <w:sz w:val="20"/>
          <w:szCs w:val="20"/>
        </w:rPr>
        <w:t>mechanism</w:t>
      </w:r>
      <w:bookmarkEnd w:id="6"/>
      <w:bookmarkEnd w:id="7"/>
      <w:r>
        <w:rPr>
          <w:rFonts w:ascii="Times New Roman" w:hAnsi="Times New Roman" w:eastAsia="宋体"/>
          <w:sz w:val="20"/>
          <w:szCs w:val="20"/>
        </w:rPr>
        <w:t xml:space="preserve"> </w:t>
      </w:r>
      <w:bookmarkEnd w:id="8"/>
      <w:r>
        <w:rPr>
          <w:rFonts w:ascii="Times New Roman" w:hAnsi="Times New Roman" w:eastAsia="宋体"/>
          <w:sz w:val="20"/>
          <w:szCs w:val="20"/>
        </w:rPr>
        <w:t>is limited by the CP length.</w:t>
      </w:r>
      <w:r>
        <w:rPr>
          <w:rFonts w:hint="eastAsia" w:ascii="Times New Roman" w:hAnsi="Times New Roman" w:eastAsia="宋体"/>
          <w:sz w:val="20"/>
          <w:szCs w:val="20"/>
        </w:rPr>
        <w:t xml:space="preserve"> </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Therefore, support of ECP is a way for improving the </w:t>
      </w:r>
      <w:r>
        <w:rPr>
          <w:rFonts w:ascii="Times New Roman" w:hAnsi="Times New Roman" w:eastAsia="宋体"/>
          <w:sz w:val="20"/>
          <w:szCs w:val="20"/>
        </w:rPr>
        <w:t xml:space="preserve">applicable area range </w:t>
      </w:r>
      <w:r>
        <w:rPr>
          <w:rFonts w:hint="eastAsia" w:ascii="Times New Roman" w:hAnsi="Times New Roman" w:eastAsia="宋体"/>
          <w:sz w:val="20"/>
          <w:szCs w:val="20"/>
        </w:rPr>
        <w:t xml:space="preserve">as well as performance </w:t>
      </w:r>
      <w:r>
        <w:rPr>
          <w:rFonts w:ascii="Times New Roman" w:hAnsi="Times New Roman" w:eastAsia="宋体"/>
          <w:sz w:val="20"/>
          <w:szCs w:val="20"/>
        </w:rPr>
        <w:t>of the SFN</w:t>
      </w:r>
      <w:r>
        <w:rPr>
          <w:rFonts w:hint="eastAsia" w:ascii="Times New Roman" w:hAnsi="Times New Roman" w:eastAsia="宋体"/>
          <w:sz w:val="20"/>
          <w:szCs w:val="20"/>
        </w:rPr>
        <w:t>-based MBS</w:t>
      </w:r>
      <w:r>
        <w:rPr>
          <w:rFonts w:ascii="Times New Roman" w:hAnsi="Times New Roman" w:eastAsia="宋体"/>
          <w:sz w:val="20"/>
          <w:szCs w:val="20"/>
        </w:rPr>
        <w:t xml:space="preserve"> transmission mechanis</w:t>
      </w:r>
      <w:r>
        <w:rPr>
          <w:rFonts w:hint="eastAsia" w:ascii="Times New Roman" w:hAnsi="Times New Roman" w:eastAsia="宋体"/>
          <w:sz w:val="20"/>
          <w:szCs w:val="20"/>
        </w:rPr>
        <w:t xml:space="preserve">m. </w:t>
      </w:r>
    </w:p>
    <w:p>
      <w:pPr>
        <w:snapToGrid w:val="0"/>
        <w:spacing w:after="120" w:line="240" w:lineRule="auto"/>
        <w:jc w:val="both"/>
        <w:rPr>
          <w:rFonts w:ascii="Times New Roman" w:hAnsi="Times New Roman" w:eastAsia="宋体"/>
          <w:i/>
          <w:iCs/>
          <w:sz w:val="20"/>
          <w:szCs w:val="20"/>
        </w:rPr>
      </w:pPr>
      <w:bookmarkStart w:id="9" w:name="OLE_LINK2"/>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Support of ECP for 15 kHz and 30 kHz subcarrier spacing is a way for improving the </w:t>
      </w:r>
      <w:r>
        <w:rPr>
          <w:rFonts w:ascii="Times New Roman" w:hAnsi="Times New Roman" w:eastAsia="宋体"/>
          <w:i/>
          <w:iCs/>
          <w:sz w:val="20"/>
          <w:szCs w:val="20"/>
        </w:rPr>
        <w:t xml:space="preserve">applicable area range </w:t>
      </w:r>
      <w:r>
        <w:rPr>
          <w:rFonts w:hint="eastAsia" w:ascii="Times New Roman" w:hAnsi="Times New Roman" w:eastAsia="宋体"/>
          <w:i/>
          <w:iCs/>
          <w:sz w:val="20"/>
          <w:szCs w:val="20"/>
        </w:rPr>
        <w:t xml:space="preserve">as well as performance </w:t>
      </w:r>
      <w:r>
        <w:rPr>
          <w:rFonts w:ascii="Times New Roman" w:hAnsi="Times New Roman" w:eastAsia="宋体"/>
          <w:i/>
          <w:iCs/>
          <w:sz w:val="20"/>
          <w:szCs w:val="20"/>
        </w:rPr>
        <w:t>of the SFN</w:t>
      </w:r>
      <w:r>
        <w:rPr>
          <w:rFonts w:hint="eastAsia" w:ascii="Times New Roman" w:hAnsi="Times New Roman" w:eastAsia="宋体"/>
          <w:i/>
          <w:iCs/>
          <w:sz w:val="20"/>
          <w:szCs w:val="20"/>
        </w:rPr>
        <w:t>-based MBS</w:t>
      </w:r>
      <w:r>
        <w:rPr>
          <w:rFonts w:ascii="Times New Roman" w:hAnsi="Times New Roman" w:eastAsia="宋体"/>
          <w:i/>
          <w:iCs/>
          <w:sz w:val="20"/>
          <w:szCs w:val="20"/>
        </w:rPr>
        <w:t xml:space="preserve"> transmission mechanis</w:t>
      </w:r>
      <w:r>
        <w:rPr>
          <w:rFonts w:hint="eastAsia" w:ascii="Times New Roman" w:hAnsi="Times New Roman" w:eastAsia="宋体"/>
          <w:i/>
          <w:iCs/>
          <w:sz w:val="20"/>
          <w:szCs w:val="20"/>
        </w:rPr>
        <w:t xml:space="preserve">m. </w:t>
      </w:r>
      <w:bookmarkEnd w:id="9"/>
    </w:p>
    <w:p>
      <w:pPr>
        <w:snapToGrid w:val="0"/>
        <w:spacing w:after="120" w:line="240" w:lineRule="auto"/>
        <w:jc w:val="both"/>
        <w:rPr>
          <w:rFonts w:ascii="Times New Roman" w:hAnsi="Times New Roman" w:eastAsia="宋体"/>
          <w:sz w:val="20"/>
          <w:szCs w:val="20"/>
        </w:rPr>
      </w:pPr>
    </w:p>
    <w:p>
      <w:pPr>
        <w:numPr>
          <w:ilvl w:val="0"/>
          <w:numId w:val="4"/>
        </w:numPr>
        <w:autoSpaceDE w:val="0"/>
        <w:autoSpaceDN w:val="0"/>
        <w:adjustRightInd w:val="0"/>
        <w:snapToGrid w:val="0"/>
        <w:spacing w:after="120" w:line="240" w:lineRule="auto"/>
        <w:jc w:val="both"/>
        <w:rPr>
          <w:rFonts w:ascii="Times New Roman" w:hAnsi="Times New Roman" w:eastAsia="宋体"/>
          <w:b/>
          <w:i/>
          <w:u w:val="single"/>
        </w:rPr>
      </w:pPr>
      <w:r>
        <w:rPr>
          <w:rFonts w:hint="eastAsia" w:ascii="Times New Roman" w:hAnsi="Times New Roman" w:eastAsia="宋体"/>
          <w:b/>
          <w:i/>
          <w:u w:val="single"/>
        </w:rPr>
        <w:t>Potential issues</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As described in WID of Rel-17 NR MBS [</w:t>
      </w:r>
      <w:r>
        <w:rPr>
          <w:rFonts w:hint="eastAsia" w:ascii="Times New Roman" w:hAnsi="Times New Roman" w:eastAsia="宋体"/>
          <w:sz w:val="20"/>
          <w:szCs w:val="20"/>
          <w:lang w:val="en-US" w:eastAsia="zh-CN"/>
        </w:rPr>
        <w:t>1</w:t>
      </w:r>
      <w:r>
        <w:rPr>
          <w:rFonts w:hint="eastAsia" w:ascii="Times New Roman" w:hAnsi="Times New Roman" w:eastAsia="宋体"/>
          <w:sz w:val="20"/>
          <w:szCs w:val="20"/>
        </w:rPr>
        <w:t xml:space="preserve">], simultaneous operation of MBS and unicast reception is an objective of the WID. If ECP for 15 kHz and 30 kHz is supported for SFN-based MBS transmission, the </w:t>
      </w:r>
      <w:bookmarkStart w:id="10" w:name="OLE_LINK5"/>
      <w:r>
        <w:rPr>
          <w:rFonts w:hint="eastAsia" w:ascii="Times New Roman" w:hAnsi="Times New Roman" w:eastAsia="宋体"/>
          <w:sz w:val="20"/>
          <w:szCs w:val="20"/>
        </w:rPr>
        <w:t>coexistence mechanism among unicast and MBS</w:t>
      </w:r>
      <w:bookmarkEnd w:id="10"/>
      <w:r>
        <w:rPr>
          <w:rFonts w:hint="eastAsia" w:ascii="Times New Roman" w:hAnsi="Times New Roman" w:eastAsia="宋体"/>
          <w:sz w:val="20"/>
          <w:szCs w:val="20"/>
        </w:rPr>
        <w:t xml:space="preserve"> will be an issue to be further considered. Some </w:t>
      </w:r>
      <w:bookmarkStart w:id="11" w:name="OLE_LINK4"/>
      <w:r>
        <w:rPr>
          <w:rFonts w:hint="eastAsia" w:ascii="Times New Roman" w:hAnsi="Times New Roman" w:eastAsia="宋体"/>
          <w:sz w:val="20"/>
          <w:szCs w:val="20"/>
        </w:rPr>
        <w:t>alternatives</w:t>
      </w:r>
      <w:bookmarkEnd w:id="11"/>
      <w:r>
        <w:rPr>
          <w:rFonts w:hint="eastAsia" w:ascii="Times New Roman" w:hAnsi="Times New Roman" w:eastAsia="宋体"/>
          <w:sz w:val="20"/>
          <w:szCs w:val="20"/>
        </w:rPr>
        <w:t xml:space="preserve"> are listed as follows, </w:t>
      </w:r>
    </w:p>
    <w:p>
      <w:pPr>
        <w:numPr>
          <w:ilvl w:val="0"/>
          <w:numId w:val="5"/>
        </w:num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Alt.1: ECP is supported for both of MBS and unicast transmission. </w:t>
      </w:r>
    </w:p>
    <w:p>
      <w:pPr>
        <w:numPr>
          <w:ilvl w:val="0"/>
          <w:numId w:val="5"/>
        </w:num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Alt.2: ECP is only supported for MBS transmission, and TDM is applied for ECP MBS and NCP unicast simultaneous reception.</w:t>
      </w:r>
    </w:p>
    <w:p>
      <w:pPr>
        <w:numPr>
          <w:ilvl w:val="0"/>
          <w:numId w:val="5"/>
        </w:num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Alt.3: ECP is only supported for MBS transmission, and FDM is applied for ECP MBS and NCP unicast simultaneous reception.</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Regarding Alt.1, the gNB can configure a common frequency resource </w:t>
      </w:r>
      <w:r>
        <w:rPr>
          <w:rFonts w:ascii="Times New Roman" w:hAnsi="Times New Roman" w:eastAsia="宋体"/>
          <w:sz w:val="20"/>
          <w:szCs w:val="20"/>
        </w:rPr>
        <w:t>(</w:t>
      </w:r>
      <w:r>
        <w:rPr>
          <w:rFonts w:hint="eastAsia" w:ascii="Times New Roman" w:hAnsi="Times New Roman" w:eastAsia="宋体"/>
          <w:sz w:val="20"/>
          <w:szCs w:val="20"/>
        </w:rPr>
        <w:t>CFR</w:t>
      </w:r>
      <w:r>
        <w:rPr>
          <w:rFonts w:ascii="Times New Roman" w:hAnsi="Times New Roman" w:eastAsia="宋体"/>
          <w:sz w:val="20"/>
          <w:szCs w:val="20"/>
        </w:rPr>
        <w:t>)</w:t>
      </w:r>
      <w:r>
        <w:rPr>
          <w:rFonts w:hint="eastAsia" w:ascii="Times New Roman" w:hAnsi="Times New Roman" w:eastAsia="宋体"/>
          <w:sz w:val="20"/>
          <w:szCs w:val="20"/>
        </w:rPr>
        <w:t xml:space="preserve"> under a DL BWP with ECP to support both of unicast and MBS transmission with ECP. It may be a simplest and most direct way, which only requires minor standardization efforts. However, some cell specific information such as SSB, SIB, etc., in initial DL BWP has to be transmitted in NCP considering backward compatibility issue. Therefore, at least initial DL BWP and broadcast CFR associated with the initial DL BWP cannot be configured as ECP. And Alt.1 may only be applicable </w:t>
      </w:r>
      <w:r>
        <w:rPr>
          <w:rFonts w:hint="eastAsia" w:ascii="Times New Roman" w:hAnsi="Times New Roman" w:eastAsia="宋体"/>
          <w:sz w:val="20"/>
          <w:szCs w:val="20"/>
          <w:lang w:val="en-US" w:eastAsia="zh-CN"/>
        </w:rPr>
        <w:t xml:space="preserve">and beneficial </w:t>
      </w:r>
      <w:r>
        <w:rPr>
          <w:rFonts w:hint="eastAsia" w:ascii="Times New Roman" w:hAnsi="Times New Roman" w:eastAsia="宋体"/>
          <w:sz w:val="20"/>
          <w:szCs w:val="20"/>
        </w:rPr>
        <w:t>to multicast transmission.</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Alt.2, this is similar to MBSFN subframe in LTE eMBMS, that is, specific time domain resources may be configured as ECP for SFN-based MBS transmission, while other time domain resources with NCP. This alternative may only require minor </w:t>
      </w:r>
      <w:r>
        <w:rPr>
          <w:rFonts w:ascii="Times New Roman" w:hAnsi="Times New Roman" w:eastAsia="宋体"/>
          <w:sz w:val="20"/>
          <w:szCs w:val="20"/>
        </w:rPr>
        <w:t xml:space="preserve">RAN1 </w:t>
      </w:r>
      <w:r>
        <w:rPr>
          <w:rFonts w:hint="eastAsia" w:ascii="Times New Roman" w:hAnsi="Times New Roman" w:eastAsia="宋体"/>
          <w:sz w:val="20"/>
          <w:szCs w:val="20"/>
        </w:rPr>
        <w:t xml:space="preserve">standardization </w:t>
      </w:r>
      <w:r>
        <w:rPr>
          <w:rFonts w:ascii="Times New Roman" w:hAnsi="Times New Roman" w:eastAsia="宋体"/>
          <w:sz w:val="20"/>
          <w:szCs w:val="20"/>
        </w:rPr>
        <w:t xml:space="preserve">efforts on defining the time domain pattern and minor </w:t>
      </w:r>
      <w:r>
        <w:rPr>
          <w:rFonts w:hint="eastAsia" w:ascii="Times New Roman" w:hAnsi="Times New Roman" w:eastAsia="宋体"/>
          <w:sz w:val="20"/>
          <w:szCs w:val="20"/>
        </w:rPr>
        <w:t xml:space="preserve">RAN4 standardization efforts on evaluation of switching delay between transmissions with ECP and NCP. </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Regarding Alt.3, it requires a revisit of legacy concept. For example, CFR definition, i.e., do we apply different CP types for CFR and its associated </w:t>
      </w:r>
      <w:r>
        <w:rPr>
          <w:rFonts w:ascii="Times New Roman" w:hAnsi="Times New Roman" w:eastAsia="宋体"/>
          <w:sz w:val="20"/>
          <w:szCs w:val="20"/>
        </w:rPr>
        <w:t>DL BWP</w:t>
      </w:r>
      <w:r>
        <w:rPr>
          <w:rFonts w:hint="eastAsia" w:ascii="Times New Roman" w:hAnsi="Times New Roman" w:eastAsia="宋体"/>
          <w:sz w:val="20"/>
          <w:szCs w:val="20"/>
        </w:rPr>
        <w:t>? Moreover, the CFR in such circumstances is more of an independent DL BWP, and it requires UE to support 'dual active' DL BWPs if a UE is to simultaneously receive MBS and unicast with different CP lengths. Other subsequent impacts need further investigation.</w:t>
      </w: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2</w:t>
      </w:r>
      <w:r>
        <w:rPr>
          <w:rFonts w:hint="eastAsia" w:ascii="Times New Roman" w:hAnsi="Times New Roman" w:eastAsia="宋体"/>
          <w:i/>
          <w:iCs/>
          <w:sz w:val="20"/>
          <w:szCs w:val="20"/>
        </w:rPr>
        <w:t xml:space="preserve">: Different co-existence schemes brings different impacts and needs further study. </w:t>
      </w:r>
      <w:bookmarkStart w:id="12" w:name="OLE_LINK14"/>
      <w:bookmarkStart w:id="13" w:name="OLE_LINK11"/>
      <w:r>
        <w:rPr>
          <w:rFonts w:hint="eastAsia" w:ascii="Times New Roman" w:hAnsi="Times New Roman" w:eastAsia="宋体"/>
          <w:i/>
          <w:iCs/>
          <w:sz w:val="20"/>
          <w:szCs w:val="20"/>
        </w:rPr>
        <w:t xml:space="preserve">And TDM manner, which is similar to that in LTE eMBMS, </w:t>
      </w:r>
      <w:r>
        <w:rPr>
          <w:rFonts w:ascii="Times New Roman" w:hAnsi="Times New Roman" w:eastAsia="宋体"/>
          <w:i/>
          <w:iCs/>
          <w:sz w:val="20"/>
          <w:szCs w:val="20"/>
        </w:rPr>
        <w:t>has</w:t>
      </w:r>
      <w:r>
        <w:rPr>
          <w:rFonts w:hint="eastAsia" w:ascii="Times New Roman" w:hAnsi="Times New Roman" w:eastAsia="宋体"/>
          <w:i/>
          <w:iCs/>
          <w:sz w:val="20"/>
          <w:szCs w:val="20"/>
        </w:rPr>
        <w:t xml:space="preserve"> a relatively less impact on standardization and </w:t>
      </w:r>
      <w:r>
        <w:rPr>
          <w:rFonts w:hint="eastAsia" w:ascii="Times New Roman" w:hAnsi="Times New Roman" w:eastAsia="宋体"/>
          <w:i/>
          <w:iCs/>
          <w:sz w:val="20"/>
          <w:szCs w:val="20"/>
          <w:lang w:val="en-US" w:eastAsia="zh-CN"/>
        </w:rPr>
        <w:t xml:space="preserve">better </w:t>
      </w:r>
      <w:r>
        <w:rPr>
          <w:rFonts w:hint="eastAsia" w:ascii="Times New Roman" w:hAnsi="Times New Roman" w:eastAsia="宋体"/>
          <w:i/>
          <w:iCs/>
          <w:sz w:val="20"/>
          <w:szCs w:val="20"/>
        </w:rPr>
        <w:t>compatibility.</w:t>
      </w:r>
      <w:bookmarkEnd w:id="12"/>
      <w:r>
        <w:rPr>
          <w:rFonts w:hint="eastAsia" w:ascii="Times New Roman" w:hAnsi="Times New Roman" w:eastAsia="宋体"/>
          <w:i/>
          <w:iCs/>
          <w:sz w:val="20"/>
          <w:szCs w:val="20"/>
        </w:rPr>
        <w:t xml:space="preserve"> </w:t>
      </w:r>
      <w:bookmarkEnd w:id="13"/>
    </w:p>
    <w:p>
      <w:pPr>
        <w:snapToGrid w:val="0"/>
        <w:spacing w:after="120" w:line="240" w:lineRule="auto"/>
        <w:jc w:val="both"/>
        <w:rPr>
          <w:rFonts w:ascii="Times New Roman" w:hAnsi="Times New Roman" w:eastAsia="宋体"/>
          <w:i/>
          <w:iCs/>
          <w:sz w:val="20"/>
          <w:szCs w:val="20"/>
        </w:rPr>
      </w:pP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I</w:t>
      </w:r>
      <w:r>
        <w:rPr>
          <w:rFonts w:ascii="Times New Roman" w:hAnsi="Times New Roman" w:eastAsia="宋体"/>
          <w:i/>
          <w:iCs/>
          <w:sz w:val="20"/>
          <w:szCs w:val="20"/>
        </w:rPr>
        <w:t>f</w:t>
      </w:r>
      <w:r>
        <w:rPr>
          <w:rFonts w:hint="eastAsia" w:ascii="Times New Roman" w:hAnsi="Times New Roman" w:eastAsia="宋体"/>
          <w:i/>
          <w:iCs/>
          <w:sz w:val="20"/>
          <w:szCs w:val="20"/>
        </w:rPr>
        <w:t xml:space="preserve"> NR MBS</w:t>
      </w:r>
      <w:r>
        <w:rPr>
          <w:rFonts w:ascii="Times New Roman" w:hAnsi="Times New Roman" w:eastAsia="宋体"/>
          <w:i/>
          <w:iCs/>
          <w:sz w:val="20"/>
          <w:szCs w:val="20"/>
        </w:rPr>
        <w:t xml:space="preserve"> is to be further enhanced in Rel-19</w:t>
      </w:r>
      <w:r>
        <w:rPr>
          <w:rFonts w:hint="eastAsia" w:ascii="Times New Roman" w:hAnsi="Times New Roman" w:eastAsia="宋体"/>
          <w:i/>
          <w:iCs/>
          <w:sz w:val="20"/>
          <w:szCs w:val="20"/>
        </w:rPr>
        <w:t xml:space="preserve">, </w:t>
      </w:r>
      <w:r>
        <w:rPr>
          <w:rFonts w:ascii="Times New Roman" w:hAnsi="Times New Roman" w:eastAsia="宋体"/>
          <w:i/>
          <w:iCs/>
          <w:sz w:val="20"/>
          <w:szCs w:val="20"/>
        </w:rPr>
        <w:t xml:space="preserve">support </w:t>
      </w:r>
      <w:r>
        <w:rPr>
          <w:rFonts w:hint="eastAsia" w:ascii="Times New Roman" w:hAnsi="Times New Roman" w:eastAsia="宋体"/>
          <w:i/>
          <w:iCs/>
          <w:sz w:val="20"/>
          <w:szCs w:val="20"/>
        </w:rPr>
        <w:t xml:space="preserve">ECP </w:t>
      </w:r>
      <w:r>
        <w:rPr>
          <w:rFonts w:ascii="Times New Roman" w:hAnsi="Times New Roman" w:eastAsia="宋体"/>
          <w:i/>
          <w:iCs/>
          <w:sz w:val="20"/>
          <w:szCs w:val="20"/>
        </w:rPr>
        <w:t xml:space="preserve">for </w:t>
      </w:r>
      <w:r>
        <w:rPr>
          <w:rFonts w:hint="eastAsia" w:ascii="Times New Roman" w:hAnsi="Times New Roman" w:eastAsia="宋体"/>
          <w:i/>
          <w:iCs/>
          <w:sz w:val="20"/>
          <w:szCs w:val="20"/>
        </w:rPr>
        <w:t xml:space="preserve">15 kHz and 30 kHz </w:t>
      </w:r>
      <w:r>
        <w:rPr>
          <w:rFonts w:ascii="Times New Roman" w:hAnsi="Times New Roman" w:eastAsia="宋体"/>
          <w:i/>
          <w:iCs/>
          <w:sz w:val="20"/>
          <w:szCs w:val="20"/>
        </w:rPr>
        <w:t xml:space="preserve">SCS for MBS transmission. </w:t>
      </w:r>
    </w:p>
    <w:p>
      <w:pPr>
        <w:numPr>
          <w:ilvl w:val="0"/>
          <w:numId w:val="6"/>
        </w:numPr>
        <w:snapToGrid w:val="0"/>
        <w:spacing w:after="120" w:line="240" w:lineRule="auto"/>
        <w:jc w:val="both"/>
        <w:rPr>
          <w:rFonts w:ascii="Times New Roman" w:hAnsi="Times New Roman" w:eastAsia="宋体"/>
          <w:sz w:val="20"/>
          <w:szCs w:val="20"/>
        </w:rPr>
      </w:pPr>
      <w:r>
        <w:rPr>
          <w:rFonts w:hint="eastAsia" w:ascii="Times New Roman" w:hAnsi="Times New Roman" w:eastAsia="宋体"/>
          <w:i/>
          <w:iCs/>
          <w:sz w:val="20"/>
          <w:szCs w:val="20"/>
        </w:rPr>
        <w:t>Specify the coexistence mechanism among unicast and MBS transmission</w:t>
      </w:r>
      <w:r>
        <w:rPr>
          <w:rFonts w:ascii="Times New Roman" w:hAnsi="Times New Roman" w:eastAsia="宋体"/>
          <w:i/>
          <w:iCs/>
          <w:sz w:val="20"/>
          <w:szCs w:val="20"/>
        </w:rPr>
        <w:t xml:space="preserve"> by </w:t>
      </w:r>
      <w:r>
        <w:rPr>
          <w:rFonts w:hint="eastAsia" w:ascii="Times New Roman" w:hAnsi="Times New Roman" w:eastAsia="宋体"/>
          <w:i/>
          <w:iCs/>
          <w:sz w:val="20"/>
          <w:szCs w:val="20"/>
        </w:rPr>
        <w:t>at least support</w:t>
      </w:r>
      <w:r>
        <w:rPr>
          <w:rFonts w:hint="eastAsia" w:ascii="Times New Roman" w:hAnsi="Times New Roman" w:eastAsia="宋体"/>
          <w:i/>
          <w:iCs/>
          <w:sz w:val="20"/>
          <w:szCs w:val="20"/>
          <w:lang w:val="en-US" w:eastAsia="zh-CN"/>
        </w:rPr>
        <w:t>ing</w:t>
      </w:r>
      <w:r>
        <w:rPr>
          <w:rFonts w:hint="eastAsia" w:ascii="Times New Roman" w:hAnsi="Times New Roman" w:eastAsia="宋体"/>
          <w:i/>
          <w:iCs/>
          <w:sz w:val="20"/>
          <w:szCs w:val="20"/>
        </w:rPr>
        <w:t xml:space="preserve"> TDM among ECP MBS and NCP unicast transmission. [RAN1, RAN</w:t>
      </w:r>
      <w:r>
        <w:rPr>
          <w:rFonts w:ascii="Times New Roman" w:hAnsi="Times New Roman" w:eastAsia="宋体"/>
          <w:i/>
          <w:iCs/>
          <w:sz w:val="20"/>
          <w:szCs w:val="20"/>
        </w:rPr>
        <w:t>4</w:t>
      </w:r>
      <w:r>
        <w:rPr>
          <w:rFonts w:hint="eastAsia" w:ascii="Times New Roman" w:hAnsi="Times New Roman" w:eastAsia="宋体"/>
          <w:i/>
          <w:iCs/>
          <w:sz w:val="20"/>
          <w:szCs w:val="20"/>
        </w:rPr>
        <w:t>]</w:t>
      </w:r>
    </w:p>
    <w:p>
      <w:pPr>
        <w:snapToGrid w:val="0"/>
        <w:spacing w:after="120" w:line="240" w:lineRule="auto"/>
        <w:jc w:val="both"/>
        <w:rPr>
          <w:rFonts w:ascii="Times New Roman" w:hAnsi="Times New Roman" w:eastAsia="宋体"/>
          <w:sz w:val="20"/>
          <w:szCs w:val="20"/>
        </w:rPr>
      </w:pPr>
    </w:p>
    <w:p>
      <w:pPr>
        <w:pStyle w:val="2"/>
        <w:numPr>
          <w:ilvl w:val="0"/>
          <w:numId w:val="3"/>
        </w:numPr>
        <w:snapToGrid w:val="0"/>
        <w:spacing w:before="120" w:after="180" w:afterLines="50"/>
        <w:jc w:val="both"/>
        <w:rPr>
          <w:rFonts w:ascii="Times New Roman" w:hAnsi="Times New Roman" w:eastAsia="宋体"/>
          <w:lang w:val="en-GB"/>
        </w:rPr>
      </w:pPr>
      <w:r>
        <w:rPr>
          <w:rFonts w:hint="eastAsia" w:ascii="Times New Roman" w:hAnsi="Times New Roman" w:eastAsia="宋体"/>
          <w:lang w:val="en-US"/>
        </w:rPr>
        <w:t>On SFN</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Rel-17, SFN is only supported implicitly, i.e., the SFN operation including any related synchronization is only achieved by network implementation and transparent to UE. Meanwhile, any design decisions taken for Rel-17 shall not prevent introducing the following features in future Releases, e.g., standardized support of SFN over multiple cells above gNB-DU level. However, if ECP is to be introduced, does it mean we </w:t>
      </w:r>
      <w:r>
        <w:rPr>
          <w:rFonts w:hint="eastAsia" w:ascii="Times New Roman" w:hAnsi="Times New Roman" w:eastAsia="宋体"/>
          <w:sz w:val="20"/>
          <w:szCs w:val="20"/>
          <w:lang w:val="en-US" w:eastAsia="zh-CN"/>
        </w:rPr>
        <w:t xml:space="preserve">will </w:t>
      </w:r>
      <w:r>
        <w:rPr>
          <w:rFonts w:hint="eastAsia" w:ascii="Times New Roman" w:hAnsi="Times New Roman" w:eastAsia="宋体"/>
          <w:sz w:val="20"/>
          <w:szCs w:val="20"/>
        </w:rPr>
        <w:t xml:space="preserve">have complete support of SFN transmissions? </w:t>
      </w:r>
    </w:p>
    <w:p>
      <w:pPr>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A complete support of SFN transmission above gNB-DU level requires a systematic support, including at least the following:</w:t>
      </w:r>
    </w:p>
    <w:p>
      <w:pPr>
        <w:numPr>
          <w:ilvl w:val="0"/>
          <w:numId w:val="5"/>
        </w:num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sz w:val="20"/>
          <w:szCs w:val="20"/>
        </w:rPr>
        <w:t xml:space="preserve">SYNC protocol is needed. Depending on the level of synchronization, inter gNB-DUs or inter gNBs, the user plane needs to be updated to support the SYNC protocol. This will need RAN2/SA2 support, depending on the ambition level. </w:t>
      </w:r>
    </w:p>
    <w:p>
      <w:pPr>
        <w:numPr>
          <w:ilvl w:val="0"/>
          <w:numId w:val="5"/>
        </w:num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sz w:val="20"/>
          <w:szCs w:val="20"/>
        </w:rPr>
        <w:t>A central scheduling entity, similar to legacy MCE (Multicell/Multicast Coordination Entity), is needed. Again, depending on the level of synchronization, this entity could be residing inside gNB or an entity above gNB level. This will need a</w:t>
      </w:r>
      <w:r>
        <w:rPr>
          <w:rFonts w:ascii="Times New Roman" w:hAnsi="Times New Roman" w:eastAsia="宋体"/>
          <w:sz w:val="20"/>
          <w:szCs w:val="20"/>
        </w:rPr>
        <w:t>n</w:t>
      </w:r>
      <w:r>
        <w:rPr>
          <w:rFonts w:hint="eastAsia" w:ascii="Times New Roman" w:hAnsi="Times New Roman" w:eastAsia="宋体"/>
          <w:sz w:val="20"/>
          <w:szCs w:val="20"/>
        </w:rPr>
        <w:t xml:space="preserve"> architectural update and huge impacts to RAN3 on the interface, either introducing new interface or enhancing existing interface, e.g., NGAP or F1AP.</w:t>
      </w:r>
    </w:p>
    <w:p>
      <w:pPr>
        <w:numPr>
          <w:ilvl w:val="0"/>
          <w:numId w:val="5"/>
        </w:num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sz w:val="20"/>
          <w:szCs w:val="20"/>
        </w:rPr>
        <w:t>Last but not least, MBSFN transmission in LTE eMBMS relies on the definition of new physical channel (i.e., PMCH) to really work. Different from PDSCH, PMCH is a semi-static scheduling that works with SYNC protocol and cross cell centralized coordination. Although much can be borrowed from LTE, it might bring much RAN1 impact.</w:t>
      </w: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3</w:t>
      </w:r>
      <w:r>
        <w:rPr>
          <w:rFonts w:hint="eastAsia" w:ascii="Times New Roman" w:hAnsi="Times New Roman" w:eastAsia="宋体"/>
          <w:i/>
          <w:iCs/>
          <w:sz w:val="20"/>
          <w:szCs w:val="20"/>
        </w:rPr>
        <w:t>: MBSFN transmission above gNB-DU or gNB level brings systematic impacts to multiple WGs.</w:t>
      </w:r>
    </w:p>
    <w:p>
      <w:pPr>
        <w:snapToGrid w:val="0"/>
        <w:spacing w:after="120" w:line="240" w:lineRule="auto"/>
        <w:jc w:val="both"/>
        <w:rPr>
          <w:rFonts w:ascii="Times New Roman" w:hAnsi="Times New Roman" w:eastAsia="宋体"/>
          <w:i/>
          <w:iCs/>
          <w:sz w:val="20"/>
          <w:szCs w:val="20"/>
        </w:rPr>
      </w:pPr>
    </w:p>
    <w:p>
      <w:pPr>
        <w:snapToGrid w:val="0"/>
        <w:spacing w:after="120" w:line="240" w:lineRule="auto"/>
        <w:jc w:val="both"/>
        <w:rPr>
          <w:rFonts w:ascii="Times New Roman" w:hAnsi="Times New Roman" w:eastAsia="宋体"/>
          <w:i w:val="0"/>
          <w:iCs/>
          <w:sz w:val="20"/>
          <w:szCs w:val="20"/>
        </w:rPr>
      </w:pPr>
      <w:r>
        <w:rPr>
          <w:rFonts w:ascii="Times New Roman" w:hAnsi="Times New Roman" w:eastAsia="宋体"/>
          <w:i w:val="0"/>
          <w:iCs/>
          <w:sz w:val="20"/>
          <w:szCs w:val="20"/>
        </w:rPr>
        <w:t>On the requirement, large-scale SFN networks is not clear based on our observation. And there are feasibility issues, e.g., on how to tackle the interference and coverage issues. Based on above, we suggest no MBSFN transmission related work in Rel-19.</w:t>
      </w: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No MBSFN transmission related work in Rel-19.</w:t>
      </w:r>
    </w:p>
    <w:p>
      <w:pPr>
        <w:snapToGrid w:val="0"/>
        <w:spacing w:after="120" w:line="240" w:lineRule="auto"/>
        <w:jc w:val="both"/>
        <w:rPr>
          <w:rFonts w:ascii="Times New Roman" w:hAnsi="Times New Roman" w:eastAsia="Times New Roman"/>
          <w:i/>
          <w:kern w:val="2"/>
          <w:sz w:val="20"/>
          <w:szCs w:val="20"/>
          <w:lang w:val="en-GB"/>
        </w:rPr>
      </w:pPr>
    </w:p>
    <w:bookmarkEnd w:id="5"/>
    <w:p>
      <w:pPr>
        <w:pStyle w:val="2"/>
        <w:numPr>
          <w:ilvl w:val="0"/>
          <w:numId w:val="3"/>
        </w:numPr>
        <w:snapToGrid w:val="0"/>
        <w:spacing w:before="120" w:after="180" w:afterLines="50"/>
        <w:jc w:val="both"/>
        <w:rPr>
          <w:rFonts w:ascii="Times New Roman" w:hAnsi="Times New Roman" w:eastAsia="宋体"/>
          <w:lang w:val="en-US"/>
        </w:rPr>
      </w:pPr>
      <w:r>
        <w:rPr>
          <w:rFonts w:hint="eastAsia" w:ascii="Times New Roman" w:hAnsi="Times New Roman" w:eastAsia="宋体"/>
          <w:lang w:val="en-US"/>
        </w:rPr>
        <w:t>Conclusion</w:t>
      </w:r>
    </w:p>
    <w:p>
      <w:pPr>
        <w:autoSpaceDE w:val="0"/>
        <w:autoSpaceDN w:val="0"/>
        <w:adjustRightInd w:val="0"/>
        <w:snapToGrid w:val="0"/>
        <w:spacing w:after="120" w:line="240" w:lineRule="auto"/>
        <w:jc w:val="both"/>
        <w:rPr>
          <w:rFonts w:ascii="Times New Roman" w:hAnsi="Times New Roman" w:eastAsia="宋体"/>
          <w:bCs/>
          <w:sz w:val="20"/>
          <w:szCs w:val="20"/>
        </w:rPr>
      </w:pPr>
      <w:r>
        <w:rPr>
          <w:rFonts w:hint="eastAsia" w:ascii="Times New Roman" w:hAnsi="Times New Roman" w:eastAsia="Malgun Gothic"/>
          <w:bCs/>
          <w:sz w:val="20"/>
          <w:szCs w:val="20"/>
          <w:lang w:val="en-GB" w:eastAsia="ko-KR"/>
        </w:rPr>
        <w:t xml:space="preserve">In this discussion paper, we focused on the ECP </w:t>
      </w:r>
      <w:r>
        <w:rPr>
          <w:rFonts w:hint="eastAsia" w:ascii="Times New Roman" w:hAnsi="Times New Roman" w:eastAsia="宋体"/>
          <w:bCs/>
          <w:sz w:val="20"/>
          <w:szCs w:val="20"/>
        </w:rPr>
        <w:t>and MBSFN transmission aspects based on the feedback we have observed from contributions in the Workshop for Rel-19. We further suggest that, if ECP is to be supported, RAN should further investigate on the co-existence issues if new ECP is to be introduced and how UE can support simultaneous ECP based MBS and unicast reception. We have the following observations and proposals:</w:t>
      </w:r>
    </w:p>
    <w:p>
      <w:pPr>
        <w:autoSpaceDE w:val="0"/>
        <w:autoSpaceDN w:val="0"/>
        <w:adjustRightInd w:val="0"/>
        <w:snapToGrid w:val="0"/>
        <w:spacing w:after="120" w:line="240" w:lineRule="auto"/>
        <w:jc w:val="both"/>
        <w:rPr>
          <w:rFonts w:ascii="Times New Roman" w:hAnsi="Times New Roman" w:eastAsia="宋体"/>
          <w:bCs/>
          <w:sz w:val="20"/>
          <w:szCs w:val="20"/>
        </w:rPr>
      </w:pP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Support of ECP for 15 kHz and 30 kHz subcarrier spacing is a way for improving the </w:t>
      </w:r>
      <w:r>
        <w:rPr>
          <w:rFonts w:ascii="Times New Roman" w:hAnsi="Times New Roman" w:eastAsia="宋体"/>
          <w:i/>
          <w:iCs/>
          <w:sz w:val="20"/>
          <w:szCs w:val="20"/>
        </w:rPr>
        <w:t xml:space="preserve">applicable area range </w:t>
      </w:r>
      <w:r>
        <w:rPr>
          <w:rFonts w:hint="eastAsia" w:ascii="Times New Roman" w:hAnsi="Times New Roman" w:eastAsia="宋体"/>
          <w:i/>
          <w:iCs/>
          <w:sz w:val="20"/>
          <w:szCs w:val="20"/>
        </w:rPr>
        <w:t xml:space="preserve">as well as performance </w:t>
      </w:r>
      <w:r>
        <w:rPr>
          <w:rFonts w:ascii="Times New Roman" w:hAnsi="Times New Roman" w:eastAsia="宋体"/>
          <w:i/>
          <w:iCs/>
          <w:sz w:val="20"/>
          <w:szCs w:val="20"/>
        </w:rPr>
        <w:t>of the SFN</w:t>
      </w:r>
      <w:r>
        <w:rPr>
          <w:rFonts w:hint="eastAsia" w:ascii="Times New Roman" w:hAnsi="Times New Roman" w:eastAsia="宋体"/>
          <w:i/>
          <w:iCs/>
          <w:sz w:val="20"/>
          <w:szCs w:val="20"/>
        </w:rPr>
        <w:t>-based MBS</w:t>
      </w:r>
      <w:r>
        <w:rPr>
          <w:rFonts w:ascii="Times New Roman" w:hAnsi="Times New Roman" w:eastAsia="宋体"/>
          <w:i/>
          <w:iCs/>
          <w:sz w:val="20"/>
          <w:szCs w:val="20"/>
        </w:rPr>
        <w:t xml:space="preserve"> transmission mechanis</w:t>
      </w:r>
      <w:r>
        <w:rPr>
          <w:rFonts w:hint="eastAsia" w:ascii="Times New Roman" w:hAnsi="Times New Roman" w:eastAsia="宋体"/>
          <w:i/>
          <w:iCs/>
          <w:sz w:val="20"/>
          <w:szCs w:val="20"/>
        </w:rPr>
        <w:t xml:space="preserve">m. </w:t>
      </w: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2</w:t>
      </w:r>
      <w:r>
        <w:rPr>
          <w:rFonts w:hint="eastAsia" w:ascii="Times New Roman" w:hAnsi="Times New Roman" w:eastAsia="宋体"/>
          <w:i/>
          <w:iCs/>
          <w:sz w:val="20"/>
          <w:szCs w:val="20"/>
        </w:rPr>
        <w:t xml:space="preserve">: Different co-existence schemes brings different impacts and needs further study. And TDM manner, which is similar to that in LTE eMBMS, </w:t>
      </w:r>
      <w:r>
        <w:rPr>
          <w:rFonts w:ascii="Times New Roman" w:hAnsi="Times New Roman" w:eastAsia="宋体"/>
          <w:i/>
          <w:iCs/>
          <w:sz w:val="20"/>
          <w:szCs w:val="20"/>
        </w:rPr>
        <w:t>has</w:t>
      </w:r>
      <w:r>
        <w:rPr>
          <w:rFonts w:hint="eastAsia" w:ascii="Times New Roman" w:hAnsi="Times New Roman" w:eastAsia="宋体"/>
          <w:i/>
          <w:iCs/>
          <w:sz w:val="20"/>
          <w:szCs w:val="20"/>
        </w:rPr>
        <w:t xml:space="preserve"> a relatively less impact on standardization and </w:t>
      </w:r>
      <w:r>
        <w:rPr>
          <w:rFonts w:hint="eastAsia" w:ascii="Times New Roman" w:hAnsi="Times New Roman" w:eastAsia="宋体"/>
          <w:i/>
          <w:iCs/>
          <w:sz w:val="20"/>
          <w:szCs w:val="20"/>
          <w:lang w:val="en-US" w:eastAsia="zh-CN"/>
        </w:rPr>
        <w:t xml:space="preserve">better </w:t>
      </w:r>
      <w:r>
        <w:rPr>
          <w:rFonts w:hint="eastAsia" w:ascii="Times New Roman" w:hAnsi="Times New Roman" w:eastAsia="宋体"/>
          <w:i/>
          <w:iCs/>
          <w:sz w:val="20"/>
          <w:szCs w:val="20"/>
        </w:rPr>
        <w:t xml:space="preserve">compatibility. </w:t>
      </w: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I</w:t>
      </w:r>
      <w:r>
        <w:rPr>
          <w:rFonts w:ascii="Times New Roman" w:hAnsi="Times New Roman" w:eastAsia="宋体"/>
          <w:i/>
          <w:iCs/>
          <w:sz w:val="20"/>
          <w:szCs w:val="20"/>
        </w:rPr>
        <w:t>f</w:t>
      </w:r>
      <w:r>
        <w:rPr>
          <w:rFonts w:hint="eastAsia" w:ascii="Times New Roman" w:hAnsi="Times New Roman" w:eastAsia="宋体"/>
          <w:i/>
          <w:iCs/>
          <w:sz w:val="20"/>
          <w:szCs w:val="20"/>
        </w:rPr>
        <w:t xml:space="preserve"> NR MBS</w:t>
      </w:r>
      <w:r>
        <w:rPr>
          <w:rFonts w:ascii="Times New Roman" w:hAnsi="Times New Roman" w:eastAsia="宋体"/>
          <w:i/>
          <w:iCs/>
          <w:sz w:val="20"/>
          <w:szCs w:val="20"/>
        </w:rPr>
        <w:t xml:space="preserve"> is to be further enhanced in Rel-19</w:t>
      </w:r>
      <w:r>
        <w:rPr>
          <w:rFonts w:hint="eastAsia" w:ascii="Times New Roman" w:hAnsi="Times New Roman" w:eastAsia="宋体"/>
          <w:i/>
          <w:iCs/>
          <w:sz w:val="20"/>
          <w:szCs w:val="20"/>
        </w:rPr>
        <w:t xml:space="preserve">, </w:t>
      </w:r>
      <w:r>
        <w:rPr>
          <w:rFonts w:ascii="Times New Roman" w:hAnsi="Times New Roman" w:eastAsia="宋体"/>
          <w:i/>
          <w:iCs/>
          <w:sz w:val="20"/>
          <w:szCs w:val="20"/>
        </w:rPr>
        <w:t xml:space="preserve">support </w:t>
      </w:r>
      <w:r>
        <w:rPr>
          <w:rFonts w:hint="eastAsia" w:ascii="Times New Roman" w:hAnsi="Times New Roman" w:eastAsia="宋体"/>
          <w:i/>
          <w:iCs/>
          <w:sz w:val="20"/>
          <w:szCs w:val="20"/>
        </w:rPr>
        <w:t xml:space="preserve">ECP </w:t>
      </w:r>
      <w:r>
        <w:rPr>
          <w:rFonts w:ascii="Times New Roman" w:hAnsi="Times New Roman" w:eastAsia="宋体"/>
          <w:i/>
          <w:iCs/>
          <w:sz w:val="20"/>
          <w:szCs w:val="20"/>
        </w:rPr>
        <w:t xml:space="preserve">for </w:t>
      </w:r>
      <w:r>
        <w:rPr>
          <w:rFonts w:hint="eastAsia" w:ascii="Times New Roman" w:hAnsi="Times New Roman" w:eastAsia="宋体"/>
          <w:i/>
          <w:iCs/>
          <w:sz w:val="20"/>
          <w:szCs w:val="20"/>
        </w:rPr>
        <w:t xml:space="preserve">15 kHz and 30 kHz </w:t>
      </w:r>
      <w:r>
        <w:rPr>
          <w:rFonts w:ascii="Times New Roman" w:hAnsi="Times New Roman" w:eastAsia="宋体"/>
          <w:i/>
          <w:iCs/>
          <w:sz w:val="20"/>
          <w:szCs w:val="20"/>
        </w:rPr>
        <w:t xml:space="preserve">SCS for MBS transmission. </w:t>
      </w:r>
    </w:p>
    <w:p>
      <w:pPr>
        <w:numPr>
          <w:ilvl w:val="0"/>
          <w:numId w:val="6"/>
        </w:numPr>
        <w:snapToGrid w:val="0"/>
        <w:spacing w:after="120" w:line="240" w:lineRule="auto"/>
        <w:jc w:val="both"/>
        <w:rPr>
          <w:rFonts w:ascii="Times New Roman" w:hAnsi="Times New Roman" w:eastAsia="宋体"/>
          <w:sz w:val="20"/>
          <w:szCs w:val="20"/>
        </w:rPr>
      </w:pPr>
      <w:r>
        <w:rPr>
          <w:rFonts w:hint="eastAsia" w:ascii="Times New Roman" w:hAnsi="Times New Roman" w:eastAsia="宋体"/>
          <w:i/>
          <w:iCs/>
          <w:sz w:val="20"/>
          <w:szCs w:val="20"/>
        </w:rPr>
        <w:t>Specify the coexistence mechanism among unicast and MBS transmission</w:t>
      </w:r>
      <w:r>
        <w:rPr>
          <w:rFonts w:ascii="Times New Roman" w:hAnsi="Times New Roman" w:eastAsia="宋体"/>
          <w:i/>
          <w:iCs/>
          <w:sz w:val="20"/>
          <w:szCs w:val="20"/>
        </w:rPr>
        <w:t xml:space="preserve"> by </w:t>
      </w:r>
      <w:r>
        <w:rPr>
          <w:rFonts w:hint="eastAsia" w:ascii="Times New Roman" w:hAnsi="Times New Roman" w:eastAsia="宋体"/>
          <w:i/>
          <w:iCs/>
          <w:sz w:val="20"/>
          <w:szCs w:val="20"/>
        </w:rPr>
        <w:t>at least support</w:t>
      </w:r>
      <w:r>
        <w:rPr>
          <w:rFonts w:hint="eastAsia" w:ascii="Times New Roman" w:hAnsi="Times New Roman" w:eastAsia="宋体"/>
          <w:i/>
          <w:iCs/>
          <w:sz w:val="20"/>
          <w:szCs w:val="20"/>
          <w:lang w:val="en-US" w:eastAsia="zh-CN"/>
        </w:rPr>
        <w:t>ing</w:t>
      </w:r>
      <w:r>
        <w:rPr>
          <w:rFonts w:hint="eastAsia" w:ascii="Times New Roman" w:hAnsi="Times New Roman" w:eastAsia="宋体"/>
          <w:i/>
          <w:iCs/>
          <w:sz w:val="20"/>
          <w:szCs w:val="20"/>
        </w:rPr>
        <w:t xml:space="preserve"> TDM among ECP MBS and NCP unicast transmission. [RAN1, RAN</w:t>
      </w:r>
      <w:r>
        <w:rPr>
          <w:rFonts w:ascii="Times New Roman" w:hAnsi="Times New Roman" w:eastAsia="宋体"/>
          <w:i/>
          <w:iCs/>
          <w:sz w:val="20"/>
          <w:szCs w:val="20"/>
        </w:rPr>
        <w:t>4</w:t>
      </w:r>
      <w:r>
        <w:rPr>
          <w:rFonts w:hint="eastAsia" w:ascii="Times New Roman" w:hAnsi="Times New Roman" w:eastAsia="宋体"/>
          <w:i/>
          <w:iCs/>
          <w:sz w:val="20"/>
          <w:szCs w:val="20"/>
        </w:rPr>
        <w:t>]</w:t>
      </w:r>
    </w:p>
    <w:p>
      <w:pPr>
        <w:snapToGrid w:val="0"/>
        <w:spacing w:after="120" w:line="240" w:lineRule="auto"/>
        <w:jc w:val="both"/>
        <w:rPr>
          <w:rFonts w:hint="eastAsia" w:ascii="Times New Roman" w:hAnsi="Times New Roman" w:eastAsia="宋体"/>
          <w:b/>
          <w:bCs/>
          <w:i/>
          <w:iCs/>
          <w:sz w:val="20"/>
          <w:szCs w:val="20"/>
        </w:rPr>
      </w:pP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3</w:t>
      </w:r>
      <w:r>
        <w:rPr>
          <w:rFonts w:hint="eastAsia" w:ascii="Times New Roman" w:hAnsi="Times New Roman" w:eastAsia="宋体"/>
          <w:i/>
          <w:iCs/>
          <w:sz w:val="20"/>
          <w:szCs w:val="20"/>
        </w:rPr>
        <w:t>: MBSFN transmission above gNB-DU or gNB level brings systematic impacts to multiple WGs.</w:t>
      </w:r>
    </w:p>
    <w:p>
      <w:pPr>
        <w:snapToGrid w:val="0"/>
        <w:spacing w:after="12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2</w:t>
      </w:r>
      <w:r>
        <w:rPr>
          <w:rFonts w:hint="eastAsia" w:ascii="Times New Roman" w:hAnsi="Times New Roman" w:eastAsia="宋体"/>
          <w:i/>
          <w:iCs/>
          <w:sz w:val="20"/>
          <w:szCs w:val="20"/>
        </w:rPr>
        <w:t>: No MBSFN transmission related work in Rel-19.</w:t>
      </w:r>
    </w:p>
    <w:p>
      <w:pPr>
        <w:autoSpaceDE w:val="0"/>
        <w:autoSpaceDN w:val="0"/>
        <w:adjustRightInd w:val="0"/>
        <w:snapToGrid w:val="0"/>
        <w:spacing w:after="120" w:line="240" w:lineRule="auto"/>
        <w:jc w:val="both"/>
        <w:rPr>
          <w:rFonts w:ascii="Times New Roman" w:hAnsi="Times New Roman" w:eastAsia="Malgun Gothic"/>
          <w:bCs/>
          <w:sz w:val="20"/>
          <w:szCs w:val="20"/>
          <w:lang w:val="en-GB" w:eastAsia="ko-KR"/>
        </w:rPr>
      </w:pPr>
    </w:p>
    <w:p>
      <w:pPr>
        <w:pStyle w:val="2"/>
        <w:numPr>
          <w:ilvl w:val="0"/>
          <w:numId w:val="3"/>
        </w:numPr>
        <w:snapToGrid w:val="0"/>
        <w:spacing w:before="120" w:after="180" w:afterLines="50"/>
        <w:jc w:val="both"/>
        <w:rPr>
          <w:rFonts w:ascii="Times New Roman" w:hAnsi="Times New Roman" w:eastAsia="宋体"/>
          <w:lang w:val="en-US"/>
        </w:rPr>
      </w:pPr>
      <w:r>
        <w:rPr>
          <w:rFonts w:hint="eastAsia" w:ascii="Times New Roman" w:hAnsi="Times New Roman" w:eastAsia="宋体"/>
          <w:lang w:val="en-US"/>
        </w:rPr>
        <w:t>Reference</w:t>
      </w:r>
    </w:p>
    <w:p>
      <w:pPr>
        <w:numPr>
          <w:ilvl w:val="0"/>
          <w:numId w:val="7"/>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RP-201038, </w:t>
      </w:r>
      <w:r>
        <w:rPr>
          <w:rFonts w:ascii="Times New Roman" w:hAnsi="Times New Roman" w:eastAsia="宋体"/>
          <w:sz w:val="20"/>
          <w:szCs w:val="20"/>
        </w:rPr>
        <w:t>‘</w:t>
      </w:r>
      <w:r>
        <w:rPr>
          <w:rFonts w:hint="eastAsia" w:ascii="Times New Roman" w:hAnsi="Times New Roman" w:eastAsia="宋体"/>
          <w:sz w:val="20"/>
          <w:szCs w:val="20"/>
        </w:rPr>
        <w:t>WID revision NR Multicast and Broadcast Services</w:t>
      </w:r>
      <w:r>
        <w:rPr>
          <w:rFonts w:ascii="Times New Roman" w:hAnsi="Times New Roman" w:eastAsia="宋体"/>
          <w:sz w:val="20"/>
          <w:szCs w:val="20"/>
        </w:rPr>
        <w:t>’</w:t>
      </w:r>
      <w:r>
        <w:rPr>
          <w:rFonts w:hint="eastAsia" w:ascii="Times New Roman" w:hAnsi="Times New Roman" w:eastAsia="宋体"/>
          <w:sz w:val="20"/>
          <w:szCs w:val="20"/>
        </w:rPr>
        <w:t xml:space="preserve">, </w:t>
      </w:r>
      <w:r>
        <w:rPr>
          <w:rFonts w:ascii="Times New Roman" w:hAnsi="Times New Roman" w:eastAsia="宋体"/>
          <w:sz w:val="20"/>
          <w:szCs w:val="20"/>
        </w:rPr>
        <w:t>Huawei, HiSilicon</w:t>
      </w:r>
      <w:r>
        <w:rPr>
          <w:rFonts w:hint="eastAsia" w:ascii="Times New Roman" w:hAnsi="Times New Roman" w:eastAsia="宋体"/>
          <w:sz w:val="20"/>
          <w:szCs w:val="20"/>
        </w:rPr>
        <w:t xml:space="preserve">. </w:t>
      </w:r>
    </w:p>
    <w:p>
      <w:pPr>
        <w:spacing w:after="0" w:line="240" w:lineRule="auto"/>
        <w:rPr>
          <w:rFonts w:ascii="Times New Roman" w:hAnsi="Times New Roman" w:eastAsia="宋体"/>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Batang">
    <w:altName w:val="思源宋體 SemiBold"/>
    <w:panose1 w:val="02030600000101010101"/>
    <w:charset w:val="81"/>
    <w:family w:val="roman"/>
    <w:pitch w:val="default"/>
    <w:sig w:usb0="00000000" w:usb1="00000000" w:usb2="00000030" w:usb3="00000000" w:csb0="0008009F" w:csb1="00000000"/>
  </w:font>
  <w:font w:name="思源宋體 SemiBold">
    <w:panose1 w:val="02020600000000000000"/>
    <w:charset w:val="88"/>
    <w:family w:val="auto"/>
    <w:pitch w:val="default"/>
    <w:sig w:usb0="30000083" w:usb1="2BDF3C10" w:usb2="00000016" w:usb3="00000000" w:csb0="603A0107"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7234A"/>
    <w:multiLevelType w:val="singleLevel"/>
    <w:tmpl w:val="8A47234A"/>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F8254AA6"/>
    <w:multiLevelType w:val="singleLevel"/>
    <w:tmpl w:val="F8254AA6"/>
    <w:lvl w:ilvl="0" w:tentative="0">
      <w:start w:val="1"/>
      <w:numFmt w:val="bullet"/>
      <w:lvlText w:val="−"/>
      <w:lvlJc w:val="left"/>
      <w:pPr>
        <w:tabs>
          <w:tab w:val="left" w:pos="420"/>
        </w:tabs>
        <w:ind w:left="840" w:hanging="420"/>
      </w:pPr>
      <w:rPr>
        <w:rFonts w:hint="default" w:ascii="Arial" w:hAnsi="Arial" w:cs="Arial"/>
      </w:rPr>
    </w:lvl>
  </w:abstractNum>
  <w:abstractNum w:abstractNumId="4">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5">
    <w:nsid w:val="23C525F8"/>
    <w:multiLevelType w:val="singleLevel"/>
    <w:tmpl w:val="23C525F8"/>
    <w:lvl w:ilvl="0" w:tentative="0">
      <w:start w:val="1"/>
      <w:numFmt w:val="bullet"/>
      <w:lvlText w:val="−"/>
      <w:lvlJc w:val="left"/>
      <w:pPr>
        <w:ind w:left="420" w:hanging="420"/>
      </w:pPr>
      <w:rPr>
        <w:rFonts w:hint="default" w:ascii="Arial" w:hAnsi="Arial" w:cs="Arial"/>
      </w:rPr>
    </w:lvl>
  </w:abstractNum>
  <w:abstractNum w:abstractNumId="6">
    <w:nsid w:val="417F6AFB"/>
    <w:multiLevelType w:val="multilevel"/>
    <w:tmpl w:val="417F6AFB"/>
    <w:lvl w:ilvl="0" w:tentative="0">
      <w:start w:val="1"/>
      <w:numFmt w:val="bullet"/>
      <w:pStyle w:val="9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4"/>
  </w:num>
  <w:num w:numId="2">
    <w:abstractNumId w:val="6"/>
  </w:num>
  <w:num w:numId="3">
    <w:abstractNumId w:val="2"/>
  </w:num>
  <w:num w:numId="4">
    <w:abstractNumId w:val="0"/>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070"/>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2D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8C"/>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C36"/>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09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308"/>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774"/>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6BE2"/>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38"/>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EF8"/>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613"/>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4A"/>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8"/>
    <w:rsid w:val="00097059"/>
    <w:rsid w:val="00097067"/>
    <w:rsid w:val="00097071"/>
    <w:rsid w:val="00097072"/>
    <w:rsid w:val="00097A1D"/>
    <w:rsid w:val="00097B65"/>
    <w:rsid w:val="00097E1C"/>
    <w:rsid w:val="000A00D5"/>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1F4F"/>
    <w:rsid w:val="000A23D8"/>
    <w:rsid w:val="000A2499"/>
    <w:rsid w:val="000A24F6"/>
    <w:rsid w:val="000A2A87"/>
    <w:rsid w:val="000A2AFD"/>
    <w:rsid w:val="000A2C04"/>
    <w:rsid w:val="000A2DDA"/>
    <w:rsid w:val="000A3204"/>
    <w:rsid w:val="000A3285"/>
    <w:rsid w:val="000A32A0"/>
    <w:rsid w:val="000A36F3"/>
    <w:rsid w:val="000A3B96"/>
    <w:rsid w:val="000A4165"/>
    <w:rsid w:val="000A4466"/>
    <w:rsid w:val="000A448B"/>
    <w:rsid w:val="000A454C"/>
    <w:rsid w:val="000A4777"/>
    <w:rsid w:val="000A4AD9"/>
    <w:rsid w:val="000A4EB7"/>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85A"/>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339"/>
    <w:rsid w:val="000B63FF"/>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AF1"/>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1F8"/>
    <w:rsid w:val="000C78F5"/>
    <w:rsid w:val="000C7A0C"/>
    <w:rsid w:val="000C7AE4"/>
    <w:rsid w:val="000C7F58"/>
    <w:rsid w:val="000D004C"/>
    <w:rsid w:val="000D0C2E"/>
    <w:rsid w:val="000D11A2"/>
    <w:rsid w:val="000D121B"/>
    <w:rsid w:val="000D12AC"/>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22"/>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1E6"/>
    <w:rsid w:val="000E52D7"/>
    <w:rsid w:val="000E54D2"/>
    <w:rsid w:val="000E597D"/>
    <w:rsid w:val="000E5AFB"/>
    <w:rsid w:val="000E5B83"/>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7E"/>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71"/>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15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97"/>
    <w:rsid w:val="001407BE"/>
    <w:rsid w:val="001409CC"/>
    <w:rsid w:val="00140ABC"/>
    <w:rsid w:val="00140B12"/>
    <w:rsid w:val="00140B27"/>
    <w:rsid w:val="00140FAF"/>
    <w:rsid w:val="0014108D"/>
    <w:rsid w:val="001410CF"/>
    <w:rsid w:val="00141171"/>
    <w:rsid w:val="001411CE"/>
    <w:rsid w:val="001417C1"/>
    <w:rsid w:val="001419D1"/>
    <w:rsid w:val="00141F2D"/>
    <w:rsid w:val="00142220"/>
    <w:rsid w:val="001422CC"/>
    <w:rsid w:val="001425FE"/>
    <w:rsid w:val="0014262F"/>
    <w:rsid w:val="0014263B"/>
    <w:rsid w:val="0014269E"/>
    <w:rsid w:val="001427DF"/>
    <w:rsid w:val="001428E8"/>
    <w:rsid w:val="00142E50"/>
    <w:rsid w:val="00143003"/>
    <w:rsid w:val="001433E4"/>
    <w:rsid w:val="001437E6"/>
    <w:rsid w:val="0014396C"/>
    <w:rsid w:val="00143B11"/>
    <w:rsid w:val="00143CB7"/>
    <w:rsid w:val="00143EDB"/>
    <w:rsid w:val="00144384"/>
    <w:rsid w:val="00144606"/>
    <w:rsid w:val="00144662"/>
    <w:rsid w:val="001447E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6F04"/>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0DD"/>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B2F"/>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37E"/>
    <w:rsid w:val="001C5467"/>
    <w:rsid w:val="001C580E"/>
    <w:rsid w:val="001C5974"/>
    <w:rsid w:val="001C5A65"/>
    <w:rsid w:val="001C5F4B"/>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DA9"/>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969"/>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3A"/>
    <w:rsid w:val="0020468A"/>
    <w:rsid w:val="002049FA"/>
    <w:rsid w:val="00204EBE"/>
    <w:rsid w:val="00204EE8"/>
    <w:rsid w:val="002053FA"/>
    <w:rsid w:val="00205543"/>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DCC"/>
    <w:rsid w:val="00224F5E"/>
    <w:rsid w:val="00225028"/>
    <w:rsid w:val="00225081"/>
    <w:rsid w:val="002250B2"/>
    <w:rsid w:val="002256C9"/>
    <w:rsid w:val="00225AF4"/>
    <w:rsid w:val="00225E4E"/>
    <w:rsid w:val="00225FB0"/>
    <w:rsid w:val="002261C0"/>
    <w:rsid w:val="0022656F"/>
    <w:rsid w:val="002265B4"/>
    <w:rsid w:val="00226664"/>
    <w:rsid w:val="002268E2"/>
    <w:rsid w:val="002268F2"/>
    <w:rsid w:val="00226CE8"/>
    <w:rsid w:val="002277B9"/>
    <w:rsid w:val="00227D7B"/>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C7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31B"/>
    <w:rsid w:val="00261A0F"/>
    <w:rsid w:val="00261A72"/>
    <w:rsid w:val="00261C82"/>
    <w:rsid w:val="00261E41"/>
    <w:rsid w:val="002620E5"/>
    <w:rsid w:val="0026265B"/>
    <w:rsid w:val="00262693"/>
    <w:rsid w:val="00262973"/>
    <w:rsid w:val="00262A86"/>
    <w:rsid w:val="00262ED0"/>
    <w:rsid w:val="00263001"/>
    <w:rsid w:val="0026300B"/>
    <w:rsid w:val="0026308B"/>
    <w:rsid w:val="00263355"/>
    <w:rsid w:val="002634C3"/>
    <w:rsid w:val="00263D44"/>
    <w:rsid w:val="00263DBA"/>
    <w:rsid w:val="00263FD7"/>
    <w:rsid w:val="002640CC"/>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D46"/>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59"/>
    <w:rsid w:val="002829D9"/>
    <w:rsid w:val="00282A1F"/>
    <w:rsid w:val="00282A7F"/>
    <w:rsid w:val="00283475"/>
    <w:rsid w:val="0028360E"/>
    <w:rsid w:val="002838A6"/>
    <w:rsid w:val="00283B82"/>
    <w:rsid w:val="00283CA7"/>
    <w:rsid w:val="00283CB4"/>
    <w:rsid w:val="00284954"/>
    <w:rsid w:val="00284AA4"/>
    <w:rsid w:val="00284B02"/>
    <w:rsid w:val="002851A4"/>
    <w:rsid w:val="00285AEF"/>
    <w:rsid w:val="00285C28"/>
    <w:rsid w:val="00285FF4"/>
    <w:rsid w:val="0028602C"/>
    <w:rsid w:val="002860A4"/>
    <w:rsid w:val="0028628D"/>
    <w:rsid w:val="00286362"/>
    <w:rsid w:val="00286366"/>
    <w:rsid w:val="002863F4"/>
    <w:rsid w:val="00286527"/>
    <w:rsid w:val="00286544"/>
    <w:rsid w:val="00286609"/>
    <w:rsid w:val="0028667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AF"/>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071"/>
    <w:rsid w:val="002B05C8"/>
    <w:rsid w:val="002B0A36"/>
    <w:rsid w:val="002B0A94"/>
    <w:rsid w:val="002B0BF5"/>
    <w:rsid w:val="002B0D71"/>
    <w:rsid w:val="002B1231"/>
    <w:rsid w:val="002B1249"/>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B0"/>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0A3"/>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42"/>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630"/>
    <w:rsid w:val="002F0C48"/>
    <w:rsid w:val="002F0E39"/>
    <w:rsid w:val="002F122C"/>
    <w:rsid w:val="002F17BA"/>
    <w:rsid w:val="002F185A"/>
    <w:rsid w:val="002F18B6"/>
    <w:rsid w:val="002F1C8C"/>
    <w:rsid w:val="002F1E2F"/>
    <w:rsid w:val="002F1F43"/>
    <w:rsid w:val="002F264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0B2"/>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D7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B96"/>
    <w:rsid w:val="00366226"/>
    <w:rsid w:val="003664F9"/>
    <w:rsid w:val="003666F4"/>
    <w:rsid w:val="0036671F"/>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9B3"/>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4E"/>
    <w:rsid w:val="00374856"/>
    <w:rsid w:val="003749BD"/>
    <w:rsid w:val="00374CE9"/>
    <w:rsid w:val="00374E51"/>
    <w:rsid w:val="00374FAD"/>
    <w:rsid w:val="0037518D"/>
    <w:rsid w:val="003751C9"/>
    <w:rsid w:val="00375342"/>
    <w:rsid w:val="00375349"/>
    <w:rsid w:val="003757F4"/>
    <w:rsid w:val="00375B88"/>
    <w:rsid w:val="00376264"/>
    <w:rsid w:val="0037666F"/>
    <w:rsid w:val="003769CB"/>
    <w:rsid w:val="00376A10"/>
    <w:rsid w:val="00376D39"/>
    <w:rsid w:val="00376EB8"/>
    <w:rsid w:val="00376F5A"/>
    <w:rsid w:val="00377131"/>
    <w:rsid w:val="003771EE"/>
    <w:rsid w:val="003776D5"/>
    <w:rsid w:val="00377F90"/>
    <w:rsid w:val="00377F99"/>
    <w:rsid w:val="00380215"/>
    <w:rsid w:val="0038029D"/>
    <w:rsid w:val="0038067B"/>
    <w:rsid w:val="00380856"/>
    <w:rsid w:val="00380939"/>
    <w:rsid w:val="00380B59"/>
    <w:rsid w:val="00380E6D"/>
    <w:rsid w:val="00381238"/>
    <w:rsid w:val="00381323"/>
    <w:rsid w:val="00381849"/>
    <w:rsid w:val="00381AC8"/>
    <w:rsid w:val="00381B10"/>
    <w:rsid w:val="00381C9E"/>
    <w:rsid w:val="0038211A"/>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844"/>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79"/>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93C"/>
    <w:rsid w:val="003B0A72"/>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28F"/>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3CD"/>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8E6"/>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875"/>
    <w:rsid w:val="003D18D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4F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7BD"/>
    <w:rsid w:val="00406880"/>
    <w:rsid w:val="00406AC0"/>
    <w:rsid w:val="00406F2E"/>
    <w:rsid w:val="00406FD3"/>
    <w:rsid w:val="0040705C"/>
    <w:rsid w:val="004070A1"/>
    <w:rsid w:val="00407500"/>
    <w:rsid w:val="00407596"/>
    <w:rsid w:val="004078FD"/>
    <w:rsid w:val="00407C94"/>
    <w:rsid w:val="00407CFB"/>
    <w:rsid w:val="00407DCF"/>
    <w:rsid w:val="00407DFB"/>
    <w:rsid w:val="00407F34"/>
    <w:rsid w:val="004104A8"/>
    <w:rsid w:val="004107B3"/>
    <w:rsid w:val="00410B05"/>
    <w:rsid w:val="00410E18"/>
    <w:rsid w:val="00411087"/>
    <w:rsid w:val="004111C5"/>
    <w:rsid w:val="00411304"/>
    <w:rsid w:val="00411466"/>
    <w:rsid w:val="0041171F"/>
    <w:rsid w:val="00411ADF"/>
    <w:rsid w:val="00411BCC"/>
    <w:rsid w:val="00411F65"/>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0B41"/>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6F1"/>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505"/>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9"/>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79B"/>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B2E"/>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2F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79C"/>
    <w:rsid w:val="004A4899"/>
    <w:rsid w:val="004A4AF8"/>
    <w:rsid w:val="004A4B0E"/>
    <w:rsid w:val="004A4B30"/>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7DB"/>
    <w:rsid w:val="004B28CD"/>
    <w:rsid w:val="004B2C74"/>
    <w:rsid w:val="004B2D18"/>
    <w:rsid w:val="004B2E4A"/>
    <w:rsid w:val="004B3058"/>
    <w:rsid w:val="004B309F"/>
    <w:rsid w:val="004B3191"/>
    <w:rsid w:val="004B337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33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175"/>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D81"/>
    <w:rsid w:val="004E4FDD"/>
    <w:rsid w:val="004E5244"/>
    <w:rsid w:val="004E5399"/>
    <w:rsid w:val="004E587D"/>
    <w:rsid w:val="004E5B94"/>
    <w:rsid w:val="004E5C4A"/>
    <w:rsid w:val="004E60D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2A4B"/>
    <w:rsid w:val="005230B3"/>
    <w:rsid w:val="00523466"/>
    <w:rsid w:val="00523B8D"/>
    <w:rsid w:val="00523DD2"/>
    <w:rsid w:val="00523E1B"/>
    <w:rsid w:val="00523F10"/>
    <w:rsid w:val="00524035"/>
    <w:rsid w:val="005242AF"/>
    <w:rsid w:val="005248D8"/>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8E7"/>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838"/>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500"/>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5D"/>
    <w:rsid w:val="00566BC7"/>
    <w:rsid w:val="00566FD9"/>
    <w:rsid w:val="005675A0"/>
    <w:rsid w:val="005675DB"/>
    <w:rsid w:val="005678DB"/>
    <w:rsid w:val="005679D7"/>
    <w:rsid w:val="00567FB5"/>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4F"/>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5FA3"/>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6B8"/>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D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CCA"/>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074"/>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0D37"/>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B61"/>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E9E"/>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47"/>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957"/>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7DA"/>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A20"/>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1D"/>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0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B5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95F"/>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62F"/>
    <w:rsid w:val="00664DE7"/>
    <w:rsid w:val="00665228"/>
    <w:rsid w:val="00665869"/>
    <w:rsid w:val="00665C0E"/>
    <w:rsid w:val="00665EDD"/>
    <w:rsid w:val="00665FD1"/>
    <w:rsid w:val="00666295"/>
    <w:rsid w:val="00666699"/>
    <w:rsid w:val="00666BCA"/>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6AD"/>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BF"/>
    <w:rsid w:val="006818D9"/>
    <w:rsid w:val="00681A7F"/>
    <w:rsid w:val="00681F48"/>
    <w:rsid w:val="00682014"/>
    <w:rsid w:val="00682166"/>
    <w:rsid w:val="00682257"/>
    <w:rsid w:val="0068225D"/>
    <w:rsid w:val="006826AD"/>
    <w:rsid w:val="006828E4"/>
    <w:rsid w:val="00682911"/>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8E"/>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B55"/>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29B"/>
    <w:rsid w:val="006B15C9"/>
    <w:rsid w:val="006B19BC"/>
    <w:rsid w:val="006B1B56"/>
    <w:rsid w:val="006B1E7F"/>
    <w:rsid w:val="006B1F08"/>
    <w:rsid w:val="006B20A3"/>
    <w:rsid w:val="006B2203"/>
    <w:rsid w:val="006B26B9"/>
    <w:rsid w:val="006B26C3"/>
    <w:rsid w:val="006B2C91"/>
    <w:rsid w:val="006B2EEA"/>
    <w:rsid w:val="006B310F"/>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1F7C"/>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A3F"/>
    <w:rsid w:val="006D111A"/>
    <w:rsid w:val="006D1186"/>
    <w:rsid w:val="006D1450"/>
    <w:rsid w:val="006D152F"/>
    <w:rsid w:val="006D1635"/>
    <w:rsid w:val="006D16EF"/>
    <w:rsid w:val="006D1C3C"/>
    <w:rsid w:val="006D205A"/>
    <w:rsid w:val="006D2143"/>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40"/>
    <w:rsid w:val="006F3B92"/>
    <w:rsid w:val="006F3F1B"/>
    <w:rsid w:val="006F4591"/>
    <w:rsid w:val="006F4903"/>
    <w:rsid w:val="006F4C6B"/>
    <w:rsid w:val="006F4DE4"/>
    <w:rsid w:val="006F53AC"/>
    <w:rsid w:val="006F53F8"/>
    <w:rsid w:val="006F5B52"/>
    <w:rsid w:val="006F5C80"/>
    <w:rsid w:val="006F5CB1"/>
    <w:rsid w:val="006F60B5"/>
    <w:rsid w:val="006F61EB"/>
    <w:rsid w:val="006F6323"/>
    <w:rsid w:val="006F66AA"/>
    <w:rsid w:val="006F6B16"/>
    <w:rsid w:val="006F6D72"/>
    <w:rsid w:val="006F6DB9"/>
    <w:rsid w:val="006F6DD1"/>
    <w:rsid w:val="006F6E68"/>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2EC"/>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1FFC"/>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C09"/>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7C"/>
    <w:rsid w:val="00721BBD"/>
    <w:rsid w:val="00722450"/>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40"/>
    <w:rsid w:val="007373D0"/>
    <w:rsid w:val="00737449"/>
    <w:rsid w:val="007374BC"/>
    <w:rsid w:val="00737822"/>
    <w:rsid w:val="0073796C"/>
    <w:rsid w:val="00737A75"/>
    <w:rsid w:val="00737AF0"/>
    <w:rsid w:val="00737BB5"/>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38BB"/>
    <w:rsid w:val="0074401A"/>
    <w:rsid w:val="0074408C"/>
    <w:rsid w:val="00744546"/>
    <w:rsid w:val="00744592"/>
    <w:rsid w:val="007446D3"/>
    <w:rsid w:val="00744711"/>
    <w:rsid w:val="007447CC"/>
    <w:rsid w:val="00744935"/>
    <w:rsid w:val="00744AD6"/>
    <w:rsid w:val="00744B88"/>
    <w:rsid w:val="00744C46"/>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0FC"/>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392"/>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129"/>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79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88"/>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2D1"/>
    <w:rsid w:val="007B3400"/>
    <w:rsid w:val="007B359C"/>
    <w:rsid w:val="007B37DB"/>
    <w:rsid w:val="007B3970"/>
    <w:rsid w:val="007B3C3E"/>
    <w:rsid w:val="007B3F9E"/>
    <w:rsid w:val="007B3FF8"/>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23"/>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3ECF"/>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5E8"/>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808"/>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1B0"/>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C83"/>
    <w:rsid w:val="00806F8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B2A"/>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4BB3"/>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4D"/>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9F2"/>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07F"/>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3D6"/>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1C"/>
    <w:rsid w:val="00890B8E"/>
    <w:rsid w:val="00890CE4"/>
    <w:rsid w:val="00890D61"/>
    <w:rsid w:val="00890EFE"/>
    <w:rsid w:val="00891090"/>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210"/>
    <w:rsid w:val="008934E1"/>
    <w:rsid w:val="008935B8"/>
    <w:rsid w:val="00893F88"/>
    <w:rsid w:val="00894108"/>
    <w:rsid w:val="008942F7"/>
    <w:rsid w:val="0089446B"/>
    <w:rsid w:val="008947A0"/>
    <w:rsid w:val="008947C2"/>
    <w:rsid w:val="00894AB9"/>
    <w:rsid w:val="00894B3E"/>
    <w:rsid w:val="00894BFB"/>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BEA"/>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1DC"/>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817"/>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1F"/>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54"/>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5F3"/>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B6A"/>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0A1"/>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93C"/>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B6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85"/>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2F90"/>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129"/>
    <w:rsid w:val="0095421E"/>
    <w:rsid w:val="009543AE"/>
    <w:rsid w:val="009543D8"/>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D4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D3F"/>
    <w:rsid w:val="00962045"/>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ADC"/>
    <w:rsid w:val="00982EB9"/>
    <w:rsid w:val="009831BD"/>
    <w:rsid w:val="009835FC"/>
    <w:rsid w:val="00983958"/>
    <w:rsid w:val="00984484"/>
    <w:rsid w:val="009844D7"/>
    <w:rsid w:val="0098455F"/>
    <w:rsid w:val="009848A7"/>
    <w:rsid w:val="00984A20"/>
    <w:rsid w:val="00984C41"/>
    <w:rsid w:val="00984E99"/>
    <w:rsid w:val="009851EA"/>
    <w:rsid w:val="0098555E"/>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9"/>
    <w:rsid w:val="009A193C"/>
    <w:rsid w:val="009A209D"/>
    <w:rsid w:val="009A2116"/>
    <w:rsid w:val="009A22B7"/>
    <w:rsid w:val="009A232F"/>
    <w:rsid w:val="009A30B6"/>
    <w:rsid w:val="009A3182"/>
    <w:rsid w:val="009A3292"/>
    <w:rsid w:val="009A32EC"/>
    <w:rsid w:val="009A3546"/>
    <w:rsid w:val="009A3C59"/>
    <w:rsid w:val="009A408C"/>
    <w:rsid w:val="009A4105"/>
    <w:rsid w:val="009A4307"/>
    <w:rsid w:val="009A45FF"/>
    <w:rsid w:val="009A4661"/>
    <w:rsid w:val="009A4695"/>
    <w:rsid w:val="009A499E"/>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7B4"/>
    <w:rsid w:val="009B1E80"/>
    <w:rsid w:val="009B1F55"/>
    <w:rsid w:val="009B25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00"/>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2F5"/>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5C"/>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0DB4"/>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AEA"/>
    <w:rsid w:val="00A37C3C"/>
    <w:rsid w:val="00A37CD9"/>
    <w:rsid w:val="00A37E1C"/>
    <w:rsid w:val="00A37EC4"/>
    <w:rsid w:val="00A401D8"/>
    <w:rsid w:val="00A40469"/>
    <w:rsid w:val="00A40742"/>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2E80"/>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8CF"/>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AB9"/>
    <w:rsid w:val="00A74C86"/>
    <w:rsid w:val="00A74CF9"/>
    <w:rsid w:val="00A74DA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5B"/>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BCE"/>
    <w:rsid w:val="00A96E78"/>
    <w:rsid w:val="00A96FCD"/>
    <w:rsid w:val="00A97602"/>
    <w:rsid w:val="00A97745"/>
    <w:rsid w:val="00A9779D"/>
    <w:rsid w:val="00A97811"/>
    <w:rsid w:val="00A97B2F"/>
    <w:rsid w:val="00A97C20"/>
    <w:rsid w:val="00A97D91"/>
    <w:rsid w:val="00AA0762"/>
    <w:rsid w:val="00AA08D9"/>
    <w:rsid w:val="00AA098D"/>
    <w:rsid w:val="00AA0A31"/>
    <w:rsid w:val="00AA0E80"/>
    <w:rsid w:val="00AA1116"/>
    <w:rsid w:val="00AA1BE7"/>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3E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3F45"/>
    <w:rsid w:val="00AB45FE"/>
    <w:rsid w:val="00AB49D6"/>
    <w:rsid w:val="00AB4A2A"/>
    <w:rsid w:val="00AB4D84"/>
    <w:rsid w:val="00AB505A"/>
    <w:rsid w:val="00AB5061"/>
    <w:rsid w:val="00AB5081"/>
    <w:rsid w:val="00AB5092"/>
    <w:rsid w:val="00AB5501"/>
    <w:rsid w:val="00AB56AB"/>
    <w:rsid w:val="00AB5713"/>
    <w:rsid w:val="00AB5AFB"/>
    <w:rsid w:val="00AB5C2F"/>
    <w:rsid w:val="00AB5C51"/>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958"/>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C7E2E"/>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0AD"/>
    <w:rsid w:val="00B0010A"/>
    <w:rsid w:val="00B005CE"/>
    <w:rsid w:val="00B006CC"/>
    <w:rsid w:val="00B007FD"/>
    <w:rsid w:val="00B00850"/>
    <w:rsid w:val="00B00AE5"/>
    <w:rsid w:val="00B00BE9"/>
    <w:rsid w:val="00B00D5B"/>
    <w:rsid w:val="00B00DC6"/>
    <w:rsid w:val="00B016B6"/>
    <w:rsid w:val="00B01A1D"/>
    <w:rsid w:val="00B01AEC"/>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BF7"/>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0A9"/>
    <w:rsid w:val="00B13262"/>
    <w:rsid w:val="00B134A1"/>
    <w:rsid w:val="00B135A7"/>
    <w:rsid w:val="00B13857"/>
    <w:rsid w:val="00B13C26"/>
    <w:rsid w:val="00B13CBD"/>
    <w:rsid w:val="00B13CDC"/>
    <w:rsid w:val="00B13D9B"/>
    <w:rsid w:val="00B13FB5"/>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2F9"/>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2D"/>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EE8"/>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1F2"/>
    <w:rsid w:val="00B45D4D"/>
    <w:rsid w:val="00B46225"/>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71"/>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56"/>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2D9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853"/>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7F"/>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6ED"/>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0AB"/>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C1"/>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CD8"/>
    <w:rsid w:val="00BC0E7F"/>
    <w:rsid w:val="00BC1129"/>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7A"/>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5B"/>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47"/>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3AF"/>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3DDA"/>
    <w:rsid w:val="00C243F8"/>
    <w:rsid w:val="00C24573"/>
    <w:rsid w:val="00C2492C"/>
    <w:rsid w:val="00C24A65"/>
    <w:rsid w:val="00C24D8B"/>
    <w:rsid w:val="00C24E34"/>
    <w:rsid w:val="00C24E99"/>
    <w:rsid w:val="00C24EF5"/>
    <w:rsid w:val="00C25003"/>
    <w:rsid w:val="00C25319"/>
    <w:rsid w:val="00C25338"/>
    <w:rsid w:val="00C2536C"/>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CF8"/>
    <w:rsid w:val="00C33D1A"/>
    <w:rsid w:val="00C33E28"/>
    <w:rsid w:val="00C34080"/>
    <w:rsid w:val="00C340A5"/>
    <w:rsid w:val="00C34562"/>
    <w:rsid w:val="00C34DCC"/>
    <w:rsid w:val="00C350F2"/>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C"/>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00"/>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28F5"/>
    <w:rsid w:val="00C7300F"/>
    <w:rsid w:val="00C73205"/>
    <w:rsid w:val="00C73421"/>
    <w:rsid w:val="00C73549"/>
    <w:rsid w:val="00C73660"/>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180"/>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16"/>
    <w:rsid w:val="00C867E1"/>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66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538"/>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0F11"/>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67"/>
    <w:rsid w:val="00CC030A"/>
    <w:rsid w:val="00CC0339"/>
    <w:rsid w:val="00CC03A2"/>
    <w:rsid w:val="00CC0545"/>
    <w:rsid w:val="00CC05A5"/>
    <w:rsid w:val="00CC080F"/>
    <w:rsid w:val="00CC0860"/>
    <w:rsid w:val="00CC0AAF"/>
    <w:rsid w:val="00CC0E13"/>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217"/>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CF7"/>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145"/>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38"/>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48"/>
    <w:rsid w:val="00D05172"/>
    <w:rsid w:val="00D05191"/>
    <w:rsid w:val="00D05752"/>
    <w:rsid w:val="00D05BAA"/>
    <w:rsid w:val="00D05DC7"/>
    <w:rsid w:val="00D060ED"/>
    <w:rsid w:val="00D0618E"/>
    <w:rsid w:val="00D062EC"/>
    <w:rsid w:val="00D0630C"/>
    <w:rsid w:val="00D06334"/>
    <w:rsid w:val="00D066F1"/>
    <w:rsid w:val="00D06719"/>
    <w:rsid w:val="00D069D0"/>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BF"/>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C5"/>
    <w:rsid w:val="00D31866"/>
    <w:rsid w:val="00D31960"/>
    <w:rsid w:val="00D31B98"/>
    <w:rsid w:val="00D31D04"/>
    <w:rsid w:val="00D3274F"/>
    <w:rsid w:val="00D32B3C"/>
    <w:rsid w:val="00D32C62"/>
    <w:rsid w:val="00D331AC"/>
    <w:rsid w:val="00D332AB"/>
    <w:rsid w:val="00D33517"/>
    <w:rsid w:val="00D335FF"/>
    <w:rsid w:val="00D33606"/>
    <w:rsid w:val="00D33647"/>
    <w:rsid w:val="00D3366C"/>
    <w:rsid w:val="00D33E78"/>
    <w:rsid w:val="00D33EF5"/>
    <w:rsid w:val="00D34257"/>
    <w:rsid w:val="00D3439B"/>
    <w:rsid w:val="00D343DE"/>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922"/>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4E84"/>
    <w:rsid w:val="00D454DB"/>
    <w:rsid w:val="00D455C6"/>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CE1"/>
    <w:rsid w:val="00D51DE1"/>
    <w:rsid w:val="00D51E32"/>
    <w:rsid w:val="00D51FDE"/>
    <w:rsid w:val="00D5252E"/>
    <w:rsid w:val="00D526B3"/>
    <w:rsid w:val="00D5298C"/>
    <w:rsid w:val="00D52A39"/>
    <w:rsid w:val="00D52C0D"/>
    <w:rsid w:val="00D52CAE"/>
    <w:rsid w:val="00D52E8E"/>
    <w:rsid w:val="00D531B8"/>
    <w:rsid w:val="00D536DC"/>
    <w:rsid w:val="00D5388F"/>
    <w:rsid w:val="00D53C4F"/>
    <w:rsid w:val="00D53D0E"/>
    <w:rsid w:val="00D53F07"/>
    <w:rsid w:val="00D5446D"/>
    <w:rsid w:val="00D54833"/>
    <w:rsid w:val="00D549F5"/>
    <w:rsid w:val="00D549F9"/>
    <w:rsid w:val="00D54D4D"/>
    <w:rsid w:val="00D54E56"/>
    <w:rsid w:val="00D55079"/>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57E50"/>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C5A"/>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67F04"/>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457"/>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A93"/>
    <w:rsid w:val="00D84B35"/>
    <w:rsid w:val="00D84EBA"/>
    <w:rsid w:val="00D84F85"/>
    <w:rsid w:val="00D853AA"/>
    <w:rsid w:val="00D85631"/>
    <w:rsid w:val="00D85744"/>
    <w:rsid w:val="00D85FE1"/>
    <w:rsid w:val="00D866B0"/>
    <w:rsid w:val="00D866FA"/>
    <w:rsid w:val="00D86A1E"/>
    <w:rsid w:val="00D86CB4"/>
    <w:rsid w:val="00D86FC6"/>
    <w:rsid w:val="00D870D1"/>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25"/>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E0E"/>
    <w:rsid w:val="00DE025A"/>
    <w:rsid w:val="00DE027D"/>
    <w:rsid w:val="00DE08CC"/>
    <w:rsid w:val="00DE0B62"/>
    <w:rsid w:val="00DE0C45"/>
    <w:rsid w:val="00DE0D72"/>
    <w:rsid w:val="00DE0F92"/>
    <w:rsid w:val="00DE0FA9"/>
    <w:rsid w:val="00DE1183"/>
    <w:rsid w:val="00DE1311"/>
    <w:rsid w:val="00DE1A84"/>
    <w:rsid w:val="00DE1C38"/>
    <w:rsid w:val="00DE1D3C"/>
    <w:rsid w:val="00DE1DE5"/>
    <w:rsid w:val="00DE216C"/>
    <w:rsid w:val="00DE2373"/>
    <w:rsid w:val="00DE256A"/>
    <w:rsid w:val="00DE258D"/>
    <w:rsid w:val="00DE2685"/>
    <w:rsid w:val="00DE2D31"/>
    <w:rsid w:val="00DE2E58"/>
    <w:rsid w:val="00DE2E65"/>
    <w:rsid w:val="00DE2E6E"/>
    <w:rsid w:val="00DE30A0"/>
    <w:rsid w:val="00DE314D"/>
    <w:rsid w:val="00DE3404"/>
    <w:rsid w:val="00DE352F"/>
    <w:rsid w:val="00DE3694"/>
    <w:rsid w:val="00DE37FC"/>
    <w:rsid w:val="00DE39C3"/>
    <w:rsid w:val="00DE3A44"/>
    <w:rsid w:val="00DE3A8E"/>
    <w:rsid w:val="00DE3AEE"/>
    <w:rsid w:val="00DE3B99"/>
    <w:rsid w:val="00DE3C84"/>
    <w:rsid w:val="00DE3DD2"/>
    <w:rsid w:val="00DE3E96"/>
    <w:rsid w:val="00DE3FAF"/>
    <w:rsid w:val="00DE428D"/>
    <w:rsid w:val="00DE4390"/>
    <w:rsid w:val="00DE4799"/>
    <w:rsid w:val="00DE491A"/>
    <w:rsid w:val="00DE4B75"/>
    <w:rsid w:val="00DE4D43"/>
    <w:rsid w:val="00DE5069"/>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4B3"/>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AEA"/>
    <w:rsid w:val="00DF3C18"/>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1AA"/>
    <w:rsid w:val="00E023B2"/>
    <w:rsid w:val="00E029F3"/>
    <w:rsid w:val="00E02B96"/>
    <w:rsid w:val="00E03380"/>
    <w:rsid w:val="00E033B0"/>
    <w:rsid w:val="00E0370C"/>
    <w:rsid w:val="00E03778"/>
    <w:rsid w:val="00E03C00"/>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DD6"/>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27A"/>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AE7"/>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7B1"/>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676"/>
    <w:rsid w:val="00E438AE"/>
    <w:rsid w:val="00E4450C"/>
    <w:rsid w:val="00E4464E"/>
    <w:rsid w:val="00E4475B"/>
    <w:rsid w:val="00E447A4"/>
    <w:rsid w:val="00E447D9"/>
    <w:rsid w:val="00E4483F"/>
    <w:rsid w:val="00E44A60"/>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08BA"/>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4A"/>
    <w:rsid w:val="00E63F56"/>
    <w:rsid w:val="00E64240"/>
    <w:rsid w:val="00E6465D"/>
    <w:rsid w:val="00E64753"/>
    <w:rsid w:val="00E647BD"/>
    <w:rsid w:val="00E647E7"/>
    <w:rsid w:val="00E648CC"/>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29F"/>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1C6"/>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77FF3"/>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57C"/>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BC"/>
    <w:rsid w:val="00EB4B98"/>
    <w:rsid w:val="00EB4DA1"/>
    <w:rsid w:val="00EB5009"/>
    <w:rsid w:val="00EB519E"/>
    <w:rsid w:val="00EB5388"/>
    <w:rsid w:val="00EB57D5"/>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071"/>
    <w:rsid w:val="00EC01AB"/>
    <w:rsid w:val="00EC01DF"/>
    <w:rsid w:val="00EC01F2"/>
    <w:rsid w:val="00EC048C"/>
    <w:rsid w:val="00EC04BD"/>
    <w:rsid w:val="00EC04DD"/>
    <w:rsid w:val="00EC09D0"/>
    <w:rsid w:val="00EC0F03"/>
    <w:rsid w:val="00EC1089"/>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9"/>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4A"/>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40A"/>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29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19D"/>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3F4"/>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05E"/>
    <w:rsid w:val="00F70225"/>
    <w:rsid w:val="00F70557"/>
    <w:rsid w:val="00F70568"/>
    <w:rsid w:val="00F707B3"/>
    <w:rsid w:val="00F708F9"/>
    <w:rsid w:val="00F70943"/>
    <w:rsid w:val="00F70A5B"/>
    <w:rsid w:val="00F70BA3"/>
    <w:rsid w:val="00F70C4B"/>
    <w:rsid w:val="00F70D00"/>
    <w:rsid w:val="00F71055"/>
    <w:rsid w:val="00F7123B"/>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24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95"/>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7D2"/>
    <w:rsid w:val="00F94826"/>
    <w:rsid w:val="00F949BF"/>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E3"/>
    <w:rsid w:val="00FB1091"/>
    <w:rsid w:val="00FB1575"/>
    <w:rsid w:val="00FB176E"/>
    <w:rsid w:val="00FB1B74"/>
    <w:rsid w:val="00FB1F57"/>
    <w:rsid w:val="00FB20D1"/>
    <w:rsid w:val="00FB210A"/>
    <w:rsid w:val="00FB213E"/>
    <w:rsid w:val="00FB2272"/>
    <w:rsid w:val="00FB2431"/>
    <w:rsid w:val="00FB26AF"/>
    <w:rsid w:val="00FB278F"/>
    <w:rsid w:val="00FB2967"/>
    <w:rsid w:val="00FB2AD5"/>
    <w:rsid w:val="00FB2C27"/>
    <w:rsid w:val="00FB2C6C"/>
    <w:rsid w:val="00FB2D66"/>
    <w:rsid w:val="00FB2E56"/>
    <w:rsid w:val="00FB322F"/>
    <w:rsid w:val="00FB3627"/>
    <w:rsid w:val="00FB36C0"/>
    <w:rsid w:val="00FB3AD2"/>
    <w:rsid w:val="00FB3C70"/>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8FE"/>
    <w:rsid w:val="00FC39A4"/>
    <w:rsid w:val="00FC4462"/>
    <w:rsid w:val="00FC4BFC"/>
    <w:rsid w:val="00FC4C65"/>
    <w:rsid w:val="00FC4DD3"/>
    <w:rsid w:val="00FC4EE3"/>
    <w:rsid w:val="00FC4FE2"/>
    <w:rsid w:val="00FC52D4"/>
    <w:rsid w:val="00FC586C"/>
    <w:rsid w:val="00FC5B62"/>
    <w:rsid w:val="00FC616C"/>
    <w:rsid w:val="00FC67BF"/>
    <w:rsid w:val="00FC6A5C"/>
    <w:rsid w:val="00FC6DEB"/>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6B"/>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AA"/>
    <w:rsid w:val="00FD7DD9"/>
    <w:rsid w:val="00FD7EDF"/>
    <w:rsid w:val="00FD7F74"/>
    <w:rsid w:val="00FD7F93"/>
    <w:rsid w:val="00FE040A"/>
    <w:rsid w:val="00FE048C"/>
    <w:rsid w:val="00FE05B4"/>
    <w:rsid w:val="00FE07E6"/>
    <w:rsid w:val="00FE09DF"/>
    <w:rsid w:val="00FE0A42"/>
    <w:rsid w:val="00FE0C19"/>
    <w:rsid w:val="00FE0C3D"/>
    <w:rsid w:val="00FE0DDC"/>
    <w:rsid w:val="00FE0E64"/>
    <w:rsid w:val="00FE1350"/>
    <w:rsid w:val="00FE1449"/>
    <w:rsid w:val="00FE1499"/>
    <w:rsid w:val="00FE14A9"/>
    <w:rsid w:val="00FE1704"/>
    <w:rsid w:val="00FE1894"/>
    <w:rsid w:val="00FE18C3"/>
    <w:rsid w:val="00FE1C57"/>
    <w:rsid w:val="00FE1F92"/>
    <w:rsid w:val="00FE228C"/>
    <w:rsid w:val="00FE22CE"/>
    <w:rsid w:val="00FE23AA"/>
    <w:rsid w:val="00FE2571"/>
    <w:rsid w:val="00FE262E"/>
    <w:rsid w:val="00FE26B2"/>
    <w:rsid w:val="00FE2E7C"/>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32"/>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180604"/>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A59CE"/>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A5A91"/>
    <w:rsid w:val="03CE5373"/>
    <w:rsid w:val="03CE651B"/>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465F4"/>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86782"/>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D4B"/>
    <w:rsid w:val="06DA7F47"/>
    <w:rsid w:val="06E4414A"/>
    <w:rsid w:val="06E84D75"/>
    <w:rsid w:val="06EB2F6E"/>
    <w:rsid w:val="06F01D0C"/>
    <w:rsid w:val="06F0680F"/>
    <w:rsid w:val="06F435BD"/>
    <w:rsid w:val="06F55AAE"/>
    <w:rsid w:val="06F561CE"/>
    <w:rsid w:val="06F8047F"/>
    <w:rsid w:val="070906C4"/>
    <w:rsid w:val="07114B7A"/>
    <w:rsid w:val="07173AC4"/>
    <w:rsid w:val="07186D56"/>
    <w:rsid w:val="072033BE"/>
    <w:rsid w:val="0721733B"/>
    <w:rsid w:val="07251E9C"/>
    <w:rsid w:val="07287634"/>
    <w:rsid w:val="072B2FCC"/>
    <w:rsid w:val="07304433"/>
    <w:rsid w:val="07351F87"/>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0192"/>
    <w:rsid w:val="079B1264"/>
    <w:rsid w:val="07A51428"/>
    <w:rsid w:val="07A55451"/>
    <w:rsid w:val="07AB3A30"/>
    <w:rsid w:val="07BC2EEE"/>
    <w:rsid w:val="07BD0EBD"/>
    <w:rsid w:val="07BE196D"/>
    <w:rsid w:val="07C019DD"/>
    <w:rsid w:val="07C1290B"/>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5088A"/>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8625A3"/>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EE495A"/>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4D25A6"/>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76591"/>
    <w:rsid w:val="0C293F71"/>
    <w:rsid w:val="0C426C85"/>
    <w:rsid w:val="0C432D86"/>
    <w:rsid w:val="0C4E63B2"/>
    <w:rsid w:val="0C4F69BD"/>
    <w:rsid w:val="0C574E9F"/>
    <w:rsid w:val="0C5860FB"/>
    <w:rsid w:val="0C594881"/>
    <w:rsid w:val="0C596C01"/>
    <w:rsid w:val="0C5E4639"/>
    <w:rsid w:val="0C6F7D6D"/>
    <w:rsid w:val="0C710759"/>
    <w:rsid w:val="0C7A2965"/>
    <w:rsid w:val="0C884ACA"/>
    <w:rsid w:val="0C8935B7"/>
    <w:rsid w:val="0C894864"/>
    <w:rsid w:val="0C895198"/>
    <w:rsid w:val="0C8D5C06"/>
    <w:rsid w:val="0C9A5993"/>
    <w:rsid w:val="0CA763A8"/>
    <w:rsid w:val="0CAC421F"/>
    <w:rsid w:val="0CB64B38"/>
    <w:rsid w:val="0CBC520A"/>
    <w:rsid w:val="0CBF3DD1"/>
    <w:rsid w:val="0CD21CB7"/>
    <w:rsid w:val="0CD24D26"/>
    <w:rsid w:val="0CDB3A09"/>
    <w:rsid w:val="0CE532AB"/>
    <w:rsid w:val="0CF03BC5"/>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47AA1"/>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BC2744"/>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2FA2FA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74CB8"/>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35CFD"/>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ED657B"/>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85179"/>
    <w:rsid w:val="167F4E63"/>
    <w:rsid w:val="16837FDA"/>
    <w:rsid w:val="1684192E"/>
    <w:rsid w:val="168B1464"/>
    <w:rsid w:val="168E0B29"/>
    <w:rsid w:val="1698607C"/>
    <w:rsid w:val="16995F03"/>
    <w:rsid w:val="16A6025D"/>
    <w:rsid w:val="16A9449F"/>
    <w:rsid w:val="16AC6719"/>
    <w:rsid w:val="16AD2E93"/>
    <w:rsid w:val="16AE155D"/>
    <w:rsid w:val="16B60E24"/>
    <w:rsid w:val="16B95052"/>
    <w:rsid w:val="16C0346B"/>
    <w:rsid w:val="16C44A98"/>
    <w:rsid w:val="16C91F5D"/>
    <w:rsid w:val="16CB3473"/>
    <w:rsid w:val="16CF015B"/>
    <w:rsid w:val="16D845B0"/>
    <w:rsid w:val="16E707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601A"/>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B7170"/>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23375"/>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06D62"/>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B70CB"/>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743F3"/>
    <w:rsid w:val="1D6A6450"/>
    <w:rsid w:val="1D6C52DC"/>
    <w:rsid w:val="1D6C751F"/>
    <w:rsid w:val="1D70796F"/>
    <w:rsid w:val="1D750578"/>
    <w:rsid w:val="1D754741"/>
    <w:rsid w:val="1D7917EF"/>
    <w:rsid w:val="1D7D4C76"/>
    <w:rsid w:val="1D7F58D0"/>
    <w:rsid w:val="1D855F2F"/>
    <w:rsid w:val="1D8A542B"/>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A7995"/>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73548"/>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C4943"/>
    <w:rsid w:val="229F5B62"/>
    <w:rsid w:val="22B80B17"/>
    <w:rsid w:val="22B90065"/>
    <w:rsid w:val="22C03051"/>
    <w:rsid w:val="22C56511"/>
    <w:rsid w:val="22C715DD"/>
    <w:rsid w:val="22C85838"/>
    <w:rsid w:val="22CF79CB"/>
    <w:rsid w:val="22D25F3B"/>
    <w:rsid w:val="22D74794"/>
    <w:rsid w:val="22DE51F5"/>
    <w:rsid w:val="22DE68CA"/>
    <w:rsid w:val="22E36089"/>
    <w:rsid w:val="22E9567E"/>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A6C80"/>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90528"/>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315F"/>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53A15"/>
    <w:rsid w:val="267B6EC2"/>
    <w:rsid w:val="26807462"/>
    <w:rsid w:val="26872E00"/>
    <w:rsid w:val="268A2240"/>
    <w:rsid w:val="26916DB8"/>
    <w:rsid w:val="269837EF"/>
    <w:rsid w:val="26A84125"/>
    <w:rsid w:val="26AF7EB1"/>
    <w:rsid w:val="26B374C5"/>
    <w:rsid w:val="26B82CF0"/>
    <w:rsid w:val="26B8558F"/>
    <w:rsid w:val="26C03942"/>
    <w:rsid w:val="26CF27C0"/>
    <w:rsid w:val="26D07CC0"/>
    <w:rsid w:val="26E13021"/>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61734"/>
    <w:rsid w:val="286F63D7"/>
    <w:rsid w:val="287C3F76"/>
    <w:rsid w:val="28825F9B"/>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07B94"/>
    <w:rsid w:val="28C14F11"/>
    <w:rsid w:val="28C968D8"/>
    <w:rsid w:val="28CF0263"/>
    <w:rsid w:val="28D773A2"/>
    <w:rsid w:val="28E069B4"/>
    <w:rsid w:val="28E17E2C"/>
    <w:rsid w:val="28E44161"/>
    <w:rsid w:val="28E474F2"/>
    <w:rsid w:val="28EB0CBF"/>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AD4C9F"/>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BB3FA0"/>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23B0B"/>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0059B"/>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2FFC1AF0"/>
    <w:rsid w:val="300914DE"/>
    <w:rsid w:val="300E5103"/>
    <w:rsid w:val="30132A83"/>
    <w:rsid w:val="30243ECE"/>
    <w:rsid w:val="30276CAC"/>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B5FBA"/>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276E"/>
    <w:rsid w:val="314673FF"/>
    <w:rsid w:val="314D1699"/>
    <w:rsid w:val="31506A7C"/>
    <w:rsid w:val="31544FB1"/>
    <w:rsid w:val="31571977"/>
    <w:rsid w:val="31571C78"/>
    <w:rsid w:val="315C54FC"/>
    <w:rsid w:val="31625150"/>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027A"/>
    <w:rsid w:val="31B76813"/>
    <w:rsid w:val="31C0715C"/>
    <w:rsid w:val="31C14F32"/>
    <w:rsid w:val="31C2792B"/>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2F39D3"/>
    <w:rsid w:val="32312593"/>
    <w:rsid w:val="323159FD"/>
    <w:rsid w:val="32333E9C"/>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067D7"/>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13046"/>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317E9"/>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B5399"/>
    <w:rsid w:val="399E1C0B"/>
    <w:rsid w:val="39A21811"/>
    <w:rsid w:val="39AD28D5"/>
    <w:rsid w:val="39B261DB"/>
    <w:rsid w:val="39B73027"/>
    <w:rsid w:val="39B857F7"/>
    <w:rsid w:val="39B90E5E"/>
    <w:rsid w:val="39BB3A94"/>
    <w:rsid w:val="39C1671E"/>
    <w:rsid w:val="39C7184A"/>
    <w:rsid w:val="39CB526D"/>
    <w:rsid w:val="39D10385"/>
    <w:rsid w:val="39D546A7"/>
    <w:rsid w:val="39DA79CB"/>
    <w:rsid w:val="39E069D4"/>
    <w:rsid w:val="39E24886"/>
    <w:rsid w:val="39E258C7"/>
    <w:rsid w:val="39F070CC"/>
    <w:rsid w:val="39F12591"/>
    <w:rsid w:val="39F81B43"/>
    <w:rsid w:val="39FA1CF1"/>
    <w:rsid w:val="3A001D3B"/>
    <w:rsid w:val="3A016BF0"/>
    <w:rsid w:val="3A0B2424"/>
    <w:rsid w:val="3A0C1916"/>
    <w:rsid w:val="3A191E0E"/>
    <w:rsid w:val="3A1C597D"/>
    <w:rsid w:val="3A1C71BF"/>
    <w:rsid w:val="3A2C3BA6"/>
    <w:rsid w:val="3A3539DC"/>
    <w:rsid w:val="3A3966CB"/>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28E0"/>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737C3"/>
    <w:rsid w:val="3C783F6C"/>
    <w:rsid w:val="3C792BFF"/>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74B1C"/>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C7B28"/>
    <w:rsid w:val="3D2E57FB"/>
    <w:rsid w:val="3D311766"/>
    <w:rsid w:val="3D31514E"/>
    <w:rsid w:val="3D344D4E"/>
    <w:rsid w:val="3D403FF6"/>
    <w:rsid w:val="3D433BE3"/>
    <w:rsid w:val="3D4410E3"/>
    <w:rsid w:val="3D4F1820"/>
    <w:rsid w:val="3D505E2B"/>
    <w:rsid w:val="3D54620E"/>
    <w:rsid w:val="3D5D13B1"/>
    <w:rsid w:val="3D682DAF"/>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B5FB9"/>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92964"/>
    <w:rsid w:val="41FA376E"/>
    <w:rsid w:val="41FE6CB2"/>
    <w:rsid w:val="420556C8"/>
    <w:rsid w:val="420E5F6F"/>
    <w:rsid w:val="4214720F"/>
    <w:rsid w:val="4217488D"/>
    <w:rsid w:val="421D7B36"/>
    <w:rsid w:val="422345EF"/>
    <w:rsid w:val="42240668"/>
    <w:rsid w:val="422A1E24"/>
    <w:rsid w:val="422A6940"/>
    <w:rsid w:val="422E486B"/>
    <w:rsid w:val="42332350"/>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14B58"/>
    <w:rsid w:val="43037652"/>
    <w:rsid w:val="430D0405"/>
    <w:rsid w:val="431417E6"/>
    <w:rsid w:val="431F321C"/>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0B0DA1"/>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77FF0"/>
    <w:rsid w:val="46880C06"/>
    <w:rsid w:val="468D2D01"/>
    <w:rsid w:val="46934B28"/>
    <w:rsid w:val="46AA774E"/>
    <w:rsid w:val="46AB3E47"/>
    <w:rsid w:val="46AD5953"/>
    <w:rsid w:val="46B8054D"/>
    <w:rsid w:val="46B861B8"/>
    <w:rsid w:val="46CF0DEB"/>
    <w:rsid w:val="46D4028D"/>
    <w:rsid w:val="46D7105C"/>
    <w:rsid w:val="46D76FD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6F0CFB"/>
    <w:rsid w:val="47701E1E"/>
    <w:rsid w:val="477429C9"/>
    <w:rsid w:val="478349BA"/>
    <w:rsid w:val="478C224F"/>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35197"/>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A46D3"/>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06335"/>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3A00"/>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749FC"/>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67E2C"/>
    <w:rsid w:val="4DFB4AE2"/>
    <w:rsid w:val="4E0D58F7"/>
    <w:rsid w:val="4E101469"/>
    <w:rsid w:val="4E17118C"/>
    <w:rsid w:val="4E2B2FCF"/>
    <w:rsid w:val="4E333BB5"/>
    <w:rsid w:val="4E357F6B"/>
    <w:rsid w:val="4E371BF7"/>
    <w:rsid w:val="4E3A2110"/>
    <w:rsid w:val="4E3D688F"/>
    <w:rsid w:val="4E3E6E2C"/>
    <w:rsid w:val="4E44293C"/>
    <w:rsid w:val="4E467BC9"/>
    <w:rsid w:val="4E490B45"/>
    <w:rsid w:val="4E5A35CD"/>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30851"/>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232A4"/>
    <w:rsid w:val="4FBA0D2B"/>
    <w:rsid w:val="4FBF63C5"/>
    <w:rsid w:val="4FC35E15"/>
    <w:rsid w:val="4FC67EEA"/>
    <w:rsid w:val="4FC739EA"/>
    <w:rsid w:val="4FCA225C"/>
    <w:rsid w:val="4FCB6050"/>
    <w:rsid w:val="4FCF59AE"/>
    <w:rsid w:val="4FD27897"/>
    <w:rsid w:val="4FD41744"/>
    <w:rsid w:val="4FD568B0"/>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64713"/>
    <w:rsid w:val="50984F82"/>
    <w:rsid w:val="509B0639"/>
    <w:rsid w:val="509E1153"/>
    <w:rsid w:val="50AD3057"/>
    <w:rsid w:val="50AD52AF"/>
    <w:rsid w:val="50AF564D"/>
    <w:rsid w:val="50B514DE"/>
    <w:rsid w:val="50B66209"/>
    <w:rsid w:val="50B91558"/>
    <w:rsid w:val="50D054AE"/>
    <w:rsid w:val="50D433C9"/>
    <w:rsid w:val="50D444D1"/>
    <w:rsid w:val="50D67365"/>
    <w:rsid w:val="50D93965"/>
    <w:rsid w:val="50D97ACF"/>
    <w:rsid w:val="50DE264E"/>
    <w:rsid w:val="50E005C3"/>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1D4D3B"/>
    <w:rsid w:val="522012E9"/>
    <w:rsid w:val="5228188A"/>
    <w:rsid w:val="522A6770"/>
    <w:rsid w:val="522F191C"/>
    <w:rsid w:val="52363194"/>
    <w:rsid w:val="52365463"/>
    <w:rsid w:val="5240020F"/>
    <w:rsid w:val="5241510C"/>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DD74C6"/>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30151"/>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625A"/>
    <w:rsid w:val="56680BC9"/>
    <w:rsid w:val="566926ED"/>
    <w:rsid w:val="567043C4"/>
    <w:rsid w:val="567119B3"/>
    <w:rsid w:val="567636B0"/>
    <w:rsid w:val="567F4D05"/>
    <w:rsid w:val="568363E1"/>
    <w:rsid w:val="568F72CF"/>
    <w:rsid w:val="56936BCC"/>
    <w:rsid w:val="56991092"/>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6972E9"/>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AE2B85"/>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055F"/>
    <w:rsid w:val="5927276B"/>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86870"/>
    <w:rsid w:val="5AE95F91"/>
    <w:rsid w:val="5AEA5F36"/>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DC7D79"/>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4B368E"/>
    <w:rsid w:val="5C501594"/>
    <w:rsid w:val="5C5056F6"/>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3A695C"/>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1029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4B06A5"/>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B93B4D"/>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3E97"/>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96C8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75F54"/>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278E1"/>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0FAB"/>
    <w:rsid w:val="642C2369"/>
    <w:rsid w:val="6435158C"/>
    <w:rsid w:val="643B5957"/>
    <w:rsid w:val="644663AD"/>
    <w:rsid w:val="644C64F7"/>
    <w:rsid w:val="64573736"/>
    <w:rsid w:val="64595EAC"/>
    <w:rsid w:val="64655408"/>
    <w:rsid w:val="646905B9"/>
    <w:rsid w:val="646A1498"/>
    <w:rsid w:val="646A4255"/>
    <w:rsid w:val="646D3620"/>
    <w:rsid w:val="646D7AE3"/>
    <w:rsid w:val="64713B8F"/>
    <w:rsid w:val="647301C9"/>
    <w:rsid w:val="64753628"/>
    <w:rsid w:val="64762A3B"/>
    <w:rsid w:val="64780C1F"/>
    <w:rsid w:val="648230FE"/>
    <w:rsid w:val="6489391C"/>
    <w:rsid w:val="64897D48"/>
    <w:rsid w:val="648B5C8D"/>
    <w:rsid w:val="649040B2"/>
    <w:rsid w:val="649165CE"/>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65A5A"/>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226A7"/>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32F99"/>
    <w:rsid w:val="66AB4650"/>
    <w:rsid w:val="66AF5BE1"/>
    <w:rsid w:val="66B37F84"/>
    <w:rsid w:val="66B40759"/>
    <w:rsid w:val="66B65E54"/>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114BDF"/>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B55D72"/>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4E73"/>
    <w:rsid w:val="6830505E"/>
    <w:rsid w:val="6831388B"/>
    <w:rsid w:val="683770B8"/>
    <w:rsid w:val="683965C1"/>
    <w:rsid w:val="683B5DF7"/>
    <w:rsid w:val="683D6F3A"/>
    <w:rsid w:val="68430152"/>
    <w:rsid w:val="684A7CF9"/>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43A84"/>
    <w:rsid w:val="68956C27"/>
    <w:rsid w:val="68983320"/>
    <w:rsid w:val="689A0693"/>
    <w:rsid w:val="689D7ED3"/>
    <w:rsid w:val="689E1B95"/>
    <w:rsid w:val="689F4CC7"/>
    <w:rsid w:val="68A01296"/>
    <w:rsid w:val="68A41E22"/>
    <w:rsid w:val="68A77B97"/>
    <w:rsid w:val="68A97007"/>
    <w:rsid w:val="68AE196D"/>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45151E"/>
    <w:rsid w:val="695529DF"/>
    <w:rsid w:val="69583967"/>
    <w:rsid w:val="695A3922"/>
    <w:rsid w:val="695A42D9"/>
    <w:rsid w:val="69624E8F"/>
    <w:rsid w:val="69637697"/>
    <w:rsid w:val="696D6D6E"/>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D5BF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34AC6"/>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376D8"/>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16540"/>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70F28"/>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4F1305"/>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80E59"/>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223B0"/>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B3D99"/>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33B7F"/>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2F1E47"/>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E240DC"/>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C6DA1"/>
    <w:rsid w:val="743E46CE"/>
    <w:rsid w:val="74414A8B"/>
    <w:rsid w:val="74434686"/>
    <w:rsid w:val="74475FDB"/>
    <w:rsid w:val="744C7B5C"/>
    <w:rsid w:val="74502B4C"/>
    <w:rsid w:val="7452351C"/>
    <w:rsid w:val="74551667"/>
    <w:rsid w:val="745B0E3C"/>
    <w:rsid w:val="745E6AA1"/>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D46BF"/>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B661C"/>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529B8"/>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22BB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56722"/>
    <w:rsid w:val="79001ACD"/>
    <w:rsid w:val="79076642"/>
    <w:rsid w:val="790B1448"/>
    <w:rsid w:val="791337F4"/>
    <w:rsid w:val="791419A8"/>
    <w:rsid w:val="79161CA5"/>
    <w:rsid w:val="791C6390"/>
    <w:rsid w:val="791D21A5"/>
    <w:rsid w:val="791E56E4"/>
    <w:rsid w:val="79204284"/>
    <w:rsid w:val="79205F77"/>
    <w:rsid w:val="79222DD2"/>
    <w:rsid w:val="7922368F"/>
    <w:rsid w:val="792E6E66"/>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C697C"/>
    <w:rsid w:val="7AF2015A"/>
    <w:rsid w:val="7AF21971"/>
    <w:rsid w:val="7AF22618"/>
    <w:rsid w:val="7AF6090B"/>
    <w:rsid w:val="7AFF25E1"/>
    <w:rsid w:val="7B0151CC"/>
    <w:rsid w:val="7B025E61"/>
    <w:rsid w:val="7B037E2C"/>
    <w:rsid w:val="7B0932FB"/>
    <w:rsid w:val="7B0F789B"/>
    <w:rsid w:val="7B101C17"/>
    <w:rsid w:val="7B107437"/>
    <w:rsid w:val="7B1113C7"/>
    <w:rsid w:val="7B170120"/>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0675E"/>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7FDE"/>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C2A23"/>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5B6D3F"/>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A56DE"/>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F2109"/>
    <w:rsid w:val="7DC55AE8"/>
    <w:rsid w:val="7DC932A8"/>
    <w:rsid w:val="7DCE7A95"/>
    <w:rsid w:val="7DCF39EB"/>
    <w:rsid w:val="7DD85DBE"/>
    <w:rsid w:val="7DDA4118"/>
    <w:rsid w:val="7DE750D0"/>
    <w:rsid w:val="7DE8415F"/>
    <w:rsid w:val="7DF742E6"/>
    <w:rsid w:val="7DFC489D"/>
    <w:rsid w:val="7E00404C"/>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EA4F1E"/>
    <w:rsid w:val="7EFD09E8"/>
    <w:rsid w:val="7EFE452B"/>
    <w:rsid w:val="7F032E41"/>
    <w:rsid w:val="7F042CED"/>
    <w:rsid w:val="7F054619"/>
    <w:rsid w:val="7F0B3EAA"/>
    <w:rsid w:val="7F1026DA"/>
    <w:rsid w:val="7F1634AE"/>
    <w:rsid w:val="7F17186C"/>
    <w:rsid w:val="7F2173F2"/>
    <w:rsid w:val="7F2371D0"/>
    <w:rsid w:val="7F25457C"/>
    <w:rsid w:val="7F307FD7"/>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64270"/>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0"/>
    <w:pPr>
      <w:widowControl w:val="0"/>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0"/>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0"/>
    <w:pPr>
      <w:keepNext/>
      <w:keepLines/>
      <w:spacing w:before="240" w:after="64" w:line="317" w:lineRule="auto"/>
      <w:outlineLvl w:val="5"/>
    </w:pPr>
    <w:rPr>
      <w:rFonts w:ascii="Arial" w:hAnsi="Arial" w:eastAsia="黑体"/>
      <w:b/>
      <w:sz w:val="24"/>
    </w:rPr>
  </w:style>
  <w:style w:type="paragraph" w:styleId="8">
    <w:name w:val="heading 7"/>
    <w:basedOn w:val="1"/>
    <w:next w:val="1"/>
    <w:unhideWhenUsed/>
    <w:qFormat/>
    <w:uiPriority w:val="0"/>
    <w:pPr>
      <w:keepNext/>
      <w:keepLines/>
      <w:spacing w:before="240" w:after="64" w:line="317" w:lineRule="auto"/>
      <w:outlineLvl w:val="6"/>
    </w:pPr>
    <w:rPr>
      <w:b/>
      <w:sz w:val="24"/>
    </w:rPr>
  </w:style>
  <w:style w:type="paragraph" w:styleId="9">
    <w:name w:val="heading 8"/>
    <w:basedOn w:val="1"/>
    <w:next w:val="1"/>
    <w:unhideWhenUsed/>
    <w:qFormat/>
    <w:uiPriority w:val="0"/>
    <w:pPr>
      <w:keepNext/>
      <w:keepLines/>
      <w:spacing w:before="240" w:after="64" w:line="317" w:lineRule="auto"/>
      <w:outlineLvl w:val="7"/>
    </w:pPr>
    <w:rPr>
      <w:rFonts w:ascii="Arial" w:hAnsi="Arial" w:eastAsia="黑体"/>
      <w:sz w:val="24"/>
    </w:rPr>
  </w:style>
  <w:style w:type="paragraph" w:styleId="10">
    <w:name w:val="heading 9"/>
    <w:basedOn w:val="1"/>
    <w:next w:val="1"/>
    <w:unhideWhenUsed/>
    <w:qFormat/>
    <w:uiPriority w:val="0"/>
    <w:pPr>
      <w:keepNext/>
      <w:keepLines/>
      <w:spacing w:before="240" w:after="64" w:line="317" w:lineRule="auto"/>
      <w:outlineLvl w:val="8"/>
    </w:pPr>
    <w:rPr>
      <w:rFonts w:ascii="Arial" w:hAnsi="Arial" w:eastAsia="黑体"/>
      <w:sz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5"/>
    <w:unhideWhenUsed/>
    <w:qFormat/>
    <w:uiPriority w:val="99"/>
    <w:pPr>
      <w:spacing w:after="0" w:line="240" w:lineRule="auto"/>
    </w:pPr>
    <w:rPr>
      <w:rFonts w:ascii="Tahoma" w:hAnsi="Tahoma"/>
      <w:sz w:val="16"/>
      <w:szCs w:val="16"/>
    </w:rPr>
  </w:style>
  <w:style w:type="paragraph" w:styleId="14">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5">
    <w:name w:val="Body Text Indent"/>
    <w:basedOn w:val="1"/>
    <w:link w:val="74"/>
    <w:unhideWhenUsed/>
    <w:qFormat/>
    <w:uiPriority w:val="99"/>
    <w:pPr>
      <w:spacing w:after="120"/>
      <w:ind w:left="360"/>
    </w:pPr>
  </w:style>
  <w:style w:type="paragraph" w:styleId="16">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character" w:styleId="17">
    <w:name w:val="annotation reference"/>
    <w:unhideWhenUsed/>
    <w:qFormat/>
    <w:uiPriority w:val="99"/>
    <w:rPr>
      <w:sz w:val="16"/>
      <w:szCs w:val="16"/>
    </w:rPr>
  </w:style>
  <w:style w:type="paragraph" w:styleId="18">
    <w:name w:val="annotation text"/>
    <w:basedOn w:val="1"/>
    <w:link w:val="39"/>
    <w:unhideWhenUsed/>
    <w:qFormat/>
    <w:uiPriority w:val="99"/>
    <w:rPr>
      <w:sz w:val="20"/>
      <w:szCs w:val="20"/>
    </w:rPr>
  </w:style>
  <w:style w:type="paragraph" w:styleId="19">
    <w:name w:val="annotation subject"/>
    <w:basedOn w:val="18"/>
    <w:next w:val="18"/>
    <w:link w:val="40"/>
    <w:unhideWhenUsed/>
    <w:qFormat/>
    <w:uiPriority w:val="99"/>
    <w:rPr>
      <w:b/>
      <w:bCs/>
    </w:rPr>
  </w:style>
  <w:style w:type="paragraph" w:styleId="20">
    <w:name w:val="Date"/>
    <w:basedOn w:val="1"/>
    <w:next w:val="1"/>
    <w:link w:val="54"/>
    <w:unhideWhenUsed/>
    <w:qFormat/>
    <w:uiPriority w:val="99"/>
    <w:pPr>
      <w:ind w:left="100" w:leftChars="2500"/>
    </w:pPr>
  </w:style>
  <w:style w:type="paragraph" w:styleId="21">
    <w:name w:val="Document Map"/>
    <w:basedOn w:val="1"/>
    <w:link w:val="41"/>
    <w:unhideWhenUsed/>
    <w:qFormat/>
    <w:uiPriority w:val="99"/>
    <w:rPr>
      <w:rFonts w:ascii="宋体"/>
      <w:sz w:val="18"/>
      <w:szCs w:val="18"/>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character" w:styleId="24">
    <w:name w:val="Hyperlink"/>
    <w:unhideWhenUsed/>
    <w:qFormat/>
    <w:uiPriority w:val="99"/>
    <w:rPr>
      <w:color w:val="0000FF"/>
      <w:u w:val="single"/>
    </w:rPr>
  </w:style>
  <w:style w:type="paragraph" w:styleId="25">
    <w:name w:val="List"/>
    <w:basedOn w:val="1"/>
    <w:unhideWhenUsed/>
    <w:qFormat/>
    <w:uiPriority w:val="99"/>
    <w:pPr>
      <w:ind w:left="568" w:hanging="284"/>
    </w:pPr>
  </w:style>
  <w:style w:type="paragraph" w:styleId="26">
    <w:name w:val="List 2"/>
    <w:basedOn w:val="25"/>
    <w:unhideWhenUsed/>
    <w:qFormat/>
    <w:uiPriority w:val="99"/>
    <w:pPr>
      <w:ind w:left="100" w:leftChars="200" w:hanging="200" w:hangingChars="200"/>
      <w:contextualSpacing/>
    </w:pPr>
  </w:style>
  <w:style w:type="paragraph" w:styleId="27">
    <w:name w:val="List 3"/>
    <w:basedOn w:val="1"/>
    <w:unhideWhenUsed/>
    <w:qFormat/>
    <w:uiPriority w:val="99"/>
    <w:pPr>
      <w:ind w:left="100" w:leftChars="400" w:hanging="200" w:hangingChars="200"/>
      <w:contextualSpacing/>
    </w:pPr>
  </w:style>
  <w:style w:type="paragraph" w:styleId="28">
    <w:name w:val="List Number 3"/>
    <w:basedOn w:val="1"/>
    <w:qFormat/>
    <w:uiPriority w:val="0"/>
    <w:pPr>
      <w:numPr>
        <w:ilvl w:val="0"/>
        <w:numId w:val="1"/>
      </w:numPr>
      <w:overflowPunct w:val="0"/>
      <w:autoSpaceDE w:val="0"/>
      <w:autoSpaceDN w:val="0"/>
      <w:adjustRightInd w:val="0"/>
      <w:spacing w:after="180" w:line="259" w:lineRule="auto"/>
      <w:textAlignment w:val="baseline"/>
    </w:pPr>
    <w:rPr>
      <w:rFonts w:ascii="Times New Roman" w:hAnsi="Times New Roman" w:eastAsia="Times New Roman"/>
      <w:sz w:val="20"/>
      <w:szCs w:val="20"/>
      <w:lang w:val="en-GB" w:eastAsia="en-US"/>
    </w:rPr>
  </w:style>
  <w:style w:type="paragraph" w:styleId="29">
    <w:name w:val="Normal (Web)"/>
    <w:basedOn w:val="1"/>
    <w:unhideWhenUsed/>
    <w:qFormat/>
    <w:uiPriority w:val="99"/>
    <w:pPr>
      <w:spacing w:after="0" w:line="240" w:lineRule="auto"/>
    </w:pPr>
    <w:rPr>
      <w:rFonts w:ascii="宋体" w:hAnsi="宋体" w:cs="宋体"/>
      <w:sz w:val="24"/>
      <w:szCs w:val="24"/>
    </w:rPr>
  </w:style>
  <w:style w:type="paragraph" w:styleId="30">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character" w:styleId="31">
    <w:name w:val="page number"/>
    <w:basedOn w:val="11"/>
    <w:unhideWhenUsed/>
    <w:qFormat/>
    <w:uiPriority w:val="99"/>
    <w:rPr>
      <w:rFonts w:hint="default"/>
      <w:sz w:val="24"/>
    </w:rPr>
  </w:style>
  <w:style w:type="paragraph" w:styleId="32">
    <w:name w:val="Plain Text"/>
    <w:basedOn w:val="1"/>
    <w:link w:val="60"/>
    <w:unhideWhenUsed/>
    <w:qFormat/>
    <w:uiPriority w:val="99"/>
    <w:pPr>
      <w:spacing w:after="0" w:line="240" w:lineRule="auto"/>
    </w:pPr>
    <w:rPr>
      <w:rFonts w:eastAsia="Calibri"/>
      <w:szCs w:val="21"/>
      <w:lang w:val="en-GB" w:eastAsia="en-US"/>
    </w:rPr>
  </w:style>
  <w:style w:type="character" w:styleId="33">
    <w:name w:val="Strong"/>
    <w:basedOn w:val="11"/>
    <w:qFormat/>
    <w:uiPriority w:val="22"/>
    <w:rPr>
      <w:b/>
      <w:bCs/>
    </w:rPr>
  </w:style>
  <w:style w:type="table" w:styleId="34">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5">
    <w:name w:val="批注框文本 字符"/>
    <w:link w:val="13"/>
    <w:semiHidden/>
    <w:qFormat/>
    <w:uiPriority w:val="99"/>
    <w:rPr>
      <w:rFonts w:ascii="Tahoma" w:hAnsi="Tahoma" w:cs="Tahoma"/>
      <w:sz w:val="16"/>
      <w:szCs w:val="16"/>
    </w:rPr>
  </w:style>
  <w:style w:type="character" w:customStyle="1" w:styleId="36">
    <w:name w:val="标题 1 字符"/>
    <w:link w:val="2"/>
    <w:qFormat/>
    <w:uiPriority w:val="0"/>
    <w:rPr>
      <w:rFonts w:ascii="Arial" w:hAnsi="Arial" w:eastAsia="黑体"/>
      <w:b/>
      <w:bCs/>
      <w:sz w:val="30"/>
      <w:szCs w:val="30"/>
      <w:lang w:val="zh-CN"/>
    </w:rPr>
  </w:style>
  <w:style w:type="character" w:customStyle="1" w:styleId="37">
    <w:name w:val="页眉 字符"/>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批注文字 字符"/>
    <w:basedOn w:val="11"/>
    <w:link w:val="18"/>
    <w:qFormat/>
    <w:uiPriority w:val="99"/>
  </w:style>
  <w:style w:type="character" w:customStyle="1" w:styleId="40">
    <w:name w:val="批注主题 字符"/>
    <w:link w:val="19"/>
    <w:semiHidden/>
    <w:qFormat/>
    <w:uiPriority w:val="99"/>
    <w:rPr>
      <w:b/>
      <w:bCs/>
    </w:rPr>
  </w:style>
  <w:style w:type="character" w:customStyle="1" w:styleId="41">
    <w:name w:val="文档结构图 字符"/>
    <w:link w:val="21"/>
    <w:semiHidden/>
    <w:qFormat/>
    <w:uiPriority w:val="99"/>
    <w:rPr>
      <w:rFonts w:ascii="宋体"/>
      <w:sz w:val="18"/>
      <w:szCs w:val="18"/>
    </w:rPr>
  </w:style>
  <w:style w:type="character" w:customStyle="1" w:styleId="42">
    <w:name w:val="正文文本 字符"/>
    <w:link w:val="14"/>
    <w:qFormat/>
    <w:uiPriority w:val="0"/>
    <w:rPr>
      <w:rFonts w:ascii="Times New Roman" w:hAnsi="Times New Roman"/>
      <w:color w:val="0000FF"/>
      <w:kern w:val="2"/>
      <w:sz w:val="21"/>
    </w:rPr>
  </w:style>
  <w:style w:type="character" w:customStyle="1" w:styleId="43">
    <w:name w:val="题注 字符"/>
    <w:link w:val="16"/>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字符"/>
    <w:link w:val="22"/>
    <w:qFormat/>
    <w:uiPriority w:val="99"/>
    <w:rPr>
      <w:sz w:val="18"/>
      <w:szCs w:val="18"/>
    </w:rPr>
  </w:style>
  <w:style w:type="character" w:customStyle="1" w:styleId="46">
    <w:name w:val="标题 2 字符"/>
    <w:link w:val="3"/>
    <w:qFormat/>
    <w:uiPriority w:val="0"/>
    <w:rPr>
      <w:rFonts w:ascii="Cambria" w:hAnsi="Cambria"/>
      <w:b/>
      <w:bCs/>
      <w:sz w:val="32"/>
      <w:szCs w:val="32"/>
      <w:lang w:val="en-US" w:eastAsia="zh-CN"/>
    </w:rPr>
  </w:style>
  <w:style w:type="character" w:customStyle="1" w:styleId="47">
    <w:name w:val="标题 3 字符"/>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11"/>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字符"/>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11"/>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字符"/>
    <w:link w:val="32"/>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字符"/>
    <w:link w:val="5"/>
    <w:qFormat/>
    <w:uiPriority w:val="0"/>
    <w:rPr>
      <w:rFonts w:ascii="Times New Roman" w:hAnsi="Times New Roman"/>
      <w:b/>
      <w:sz w:val="28"/>
      <w:szCs w:val="28"/>
      <w:lang w:val="en-GB"/>
    </w:rPr>
  </w:style>
  <w:style w:type="character" w:customStyle="1" w:styleId="67">
    <w:name w:val="标题 5 字符"/>
    <w:link w:val="6"/>
    <w:qFormat/>
    <w:uiPriority w:val="0"/>
    <w:rPr>
      <w:rFonts w:ascii="Times New Roman" w:hAnsi="Times New Roman"/>
      <w:b/>
      <w:sz w:val="24"/>
      <w:szCs w:val="24"/>
      <w:lang w:val="en-GB"/>
    </w:rPr>
  </w:style>
  <w:style w:type="character" w:customStyle="1" w:styleId="68">
    <w:name w:val="apple-converted-space"/>
    <w:basedOn w:val="11"/>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11"/>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字符"/>
    <w:basedOn w:val="11"/>
    <w:link w:val="15"/>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30"/>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26"/>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2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5"/>
    <w:link w:val="88"/>
    <w:qFormat/>
    <w:uiPriority w:val="99"/>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character" w:customStyle="1" w:styleId="88">
    <w:name w:val="B1 (文字)"/>
    <w:link w:val="85"/>
    <w:qFormat/>
    <w:locked/>
    <w:uiPriority w:val="99"/>
    <w:rPr>
      <w:rFonts w:ascii="Calibri" w:hAnsi="Calibri" w:eastAsiaTheme="minorEastAsia"/>
      <w:sz w:val="22"/>
      <w:szCs w:val="22"/>
    </w:rPr>
  </w:style>
  <w:style w:type="paragraph" w:customStyle="1" w:styleId="8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0">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1">
    <w:name w:val="列出段落2"/>
    <w:basedOn w:val="1"/>
    <w:qFormat/>
    <w:uiPriority w:val="99"/>
    <w:pPr>
      <w:ind w:firstLine="420" w:firstLineChars="200"/>
    </w:pPr>
  </w:style>
  <w:style w:type="paragraph" w:customStyle="1" w:styleId="92">
    <w:name w:val="3GPP Agreements"/>
    <w:basedOn w:val="1"/>
    <w:qFormat/>
    <w:uiPriority w:val="0"/>
    <w:pPr>
      <w:numPr>
        <w:ilvl w:val="0"/>
        <w:numId w:val="2"/>
      </w:numPr>
      <w:spacing w:before="60" w:after="60"/>
      <w:jc w:val="both"/>
    </w:pPr>
  </w:style>
  <w:style w:type="character" w:customStyle="1" w:styleId="93">
    <w:name w:val="normaltextrun"/>
    <w:qFormat/>
    <w:uiPriority w:val="0"/>
  </w:style>
  <w:style w:type="character" w:customStyle="1" w:styleId="94">
    <w:name w:val="spellingerror"/>
    <w:qFormat/>
    <w:uiPriority w:val="0"/>
  </w:style>
  <w:style w:type="paragraph" w:styleId="95">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6">
    <w:name w:val="10"/>
    <w:basedOn w:val="11"/>
    <w:qFormat/>
    <w:uiPriority w:val="0"/>
    <w:rPr>
      <w:rFonts w:hint="default" w:ascii="Times New Roman" w:hAnsi="Times New Roman" w:cs="Times New Roman"/>
    </w:rPr>
  </w:style>
  <w:style w:type="character" w:customStyle="1" w:styleId="97">
    <w:name w:val="15"/>
    <w:basedOn w:val="11"/>
    <w:qFormat/>
    <w:uiPriority w:val="0"/>
    <w:rPr>
      <w:rFonts w:hint="default" w:ascii="Times New Roman" w:hAnsi="Times New Roman" w:cs="Times New Roman"/>
    </w:rPr>
  </w:style>
  <w:style w:type="paragraph" w:customStyle="1" w:styleId="98">
    <w:name w:val="TAL+B1"/>
    <w:basedOn w:val="63"/>
    <w:qFormat/>
    <w:uiPriority w:val="0"/>
    <w:pPr>
      <w:widowControl w:val="0"/>
      <w:spacing w:before="100" w:beforeAutospacing="1" w:line="240" w:lineRule="auto"/>
      <w:ind w:left="284"/>
    </w:pPr>
    <w:rPr>
      <w:rFonts w:eastAsia="Times New Roman"/>
      <w:szCs w:val="18"/>
    </w:rPr>
  </w:style>
  <w:style w:type="paragraph" w:customStyle="1" w:styleId="99">
    <w:name w:val="TAL+B2"/>
    <w:basedOn w:val="98"/>
    <w:qFormat/>
    <w:uiPriority w:val="0"/>
    <w:pPr>
      <w:ind w:left="568"/>
    </w:pPr>
  </w:style>
  <w:style w:type="paragraph" w:customStyle="1" w:styleId="100">
    <w:name w:val="TAL+B3"/>
    <w:basedOn w:val="99"/>
    <w:qFormat/>
    <w:uiPriority w:val="0"/>
    <w:pPr>
      <w:ind w:left="852"/>
    </w:pPr>
  </w:style>
  <w:style w:type="paragraph" w:customStyle="1" w:styleId="101">
    <w:name w:val="TAL+B4"/>
    <w:basedOn w:val="100"/>
    <w:qFormat/>
    <w:uiPriority w:val="0"/>
    <w:pPr>
      <w:ind w:left="1136"/>
    </w:pPr>
  </w:style>
  <w:style w:type="paragraph" w:customStyle="1" w:styleId="102">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3">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4">
    <w:name w:val="EmailDiscussion"/>
    <w:basedOn w:val="1"/>
    <w:next w:val="103"/>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5">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6">
    <w:name w:val="网格型1"/>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8">
    <w:name w:val="TF"/>
    <w:basedOn w:val="64"/>
    <w:qFormat/>
    <w:uiPriority w:val="0"/>
    <w:pPr>
      <w:keepNext w:val="0"/>
      <w:spacing w:before="0" w:after="240"/>
    </w:pPr>
  </w:style>
  <w:style w:type="table" w:customStyle="1" w:styleId="109">
    <w:name w:val="TableGrid1"/>
    <w:basedOn w:val="12"/>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2"/>
    <w:basedOn w:val="12"/>
    <w:qFormat/>
    <w:uiPriority w:val="39"/>
    <w:pPr>
      <w:spacing w:after="160" w:line="259" w:lineRule="auto"/>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12"/>
    <w:qFormat/>
    <w:uiPriority w:val="39"/>
    <w:pPr>
      <w:spacing w:after="160" w:line="259" w:lineRule="auto"/>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B4FDE-436F-4D7D-AF18-4F99A5C13BC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1216</Words>
  <Characters>6934</Characters>
  <Lines>57</Lines>
  <Paragraphs>16</Paragraphs>
  <TotalTime>46</TotalTime>
  <ScaleCrop>false</ScaleCrop>
  <LinksUpToDate>false</LinksUpToDate>
  <CharactersWithSpaces>8134</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2023-02-16T02:40:00Z</dcterms:created>
  <dc:creator>ZTE</dc:creator>
  <cp:lastModifiedBy>ZTE</cp:lastModifiedBy>
  <dcterms:modified xsi:type="dcterms:W3CDTF">2023-09-04T10:35:51Z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5A0F54430D0B45B09D0C3395EC4C4692</vt:lpwstr>
  </property>
</Properties>
</file>